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D93B" w14:textId="4192AB12" w:rsidR="00B93805" w:rsidRDefault="00FA46BD">
      <w:r w:rsidRPr="00E56302">
        <w:rPr>
          <w:rFonts w:ascii="Arial" w:hAnsi="Arial" w:cs="Arial"/>
          <w:b/>
          <w:bCs/>
          <w:noProof/>
          <w:sz w:val="28"/>
          <w:szCs w:val="28"/>
        </w:rPr>
        <w:drawing>
          <wp:inline distT="0" distB="0" distL="0" distR="0" wp14:anchorId="32B9A83B" wp14:editId="1777BF58">
            <wp:extent cx="3329940" cy="1249680"/>
            <wp:effectExtent l="0" t="0" r="3810" b="7620"/>
            <wp:docPr id="2107569343" name="Picture 2"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69343" name="Picture 2" descr="A logo with a bird fly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1249680"/>
                    </a:xfrm>
                    <a:prstGeom prst="rect">
                      <a:avLst/>
                    </a:prstGeom>
                    <a:noFill/>
                    <a:ln>
                      <a:noFill/>
                    </a:ln>
                  </pic:spPr>
                </pic:pic>
              </a:graphicData>
            </a:graphic>
          </wp:inline>
        </w:drawing>
      </w:r>
    </w:p>
    <w:p w14:paraId="3D8E655E" w14:textId="77777777" w:rsidR="00FA46BD" w:rsidRDefault="00FA46BD"/>
    <w:p w14:paraId="431EC3BB" w14:textId="146AE40C" w:rsidR="00FA46BD" w:rsidRPr="00FA46BD" w:rsidRDefault="00FA46BD" w:rsidP="00FA46BD">
      <w:pPr>
        <w:jc w:val="center"/>
        <w:rPr>
          <w:b/>
          <w:bCs/>
          <w:sz w:val="32"/>
          <w:szCs w:val="32"/>
        </w:rPr>
      </w:pPr>
      <w:r w:rsidRPr="00FA46BD">
        <w:rPr>
          <w:b/>
          <w:bCs/>
          <w:sz w:val="32"/>
          <w:szCs w:val="32"/>
        </w:rPr>
        <w:t>Subject Access Request (SAR) Response Policy</w:t>
      </w:r>
    </w:p>
    <w:p w14:paraId="6ED44BC4" w14:textId="77777777" w:rsidR="00FA46BD" w:rsidRDefault="00FA46BD"/>
    <w:p w14:paraId="074A8325" w14:textId="5095C954" w:rsidR="00FA46BD" w:rsidRPr="00FA46BD" w:rsidRDefault="00FA46BD" w:rsidP="00FA46BD">
      <w:pPr>
        <w:pStyle w:val="ListParagraph"/>
        <w:numPr>
          <w:ilvl w:val="0"/>
          <w:numId w:val="1"/>
        </w:numPr>
        <w:jc w:val="both"/>
        <w:rPr>
          <w:sz w:val="24"/>
          <w:szCs w:val="24"/>
        </w:rPr>
      </w:pPr>
      <w:r w:rsidRPr="00FA46BD">
        <w:rPr>
          <w:b/>
          <w:bCs/>
          <w:sz w:val="24"/>
          <w:szCs w:val="24"/>
        </w:rPr>
        <w:t>Purpose</w:t>
      </w:r>
      <w:r w:rsidRPr="00FA46BD">
        <w:rPr>
          <w:sz w:val="24"/>
          <w:szCs w:val="24"/>
        </w:rPr>
        <w:t xml:space="preserve"> </w:t>
      </w:r>
    </w:p>
    <w:p w14:paraId="55563237" w14:textId="77777777" w:rsidR="00FA46BD" w:rsidRDefault="00FA46BD" w:rsidP="00FA46BD">
      <w:pPr>
        <w:ind w:left="360"/>
        <w:jc w:val="both"/>
        <w:rPr>
          <w:sz w:val="24"/>
          <w:szCs w:val="24"/>
        </w:rPr>
      </w:pPr>
      <w:r w:rsidRPr="00FA46BD">
        <w:rPr>
          <w:sz w:val="24"/>
          <w:szCs w:val="24"/>
        </w:rPr>
        <w:t>This policy outlines how</w:t>
      </w:r>
      <w:r>
        <w:rPr>
          <w:sz w:val="24"/>
          <w:szCs w:val="24"/>
        </w:rPr>
        <w:t xml:space="preserve"> </w:t>
      </w:r>
      <w:proofErr w:type="spellStart"/>
      <w:r>
        <w:rPr>
          <w:sz w:val="24"/>
          <w:szCs w:val="24"/>
        </w:rPr>
        <w:t>Sidlesham</w:t>
      </w:r>
      <w:proofErr w:type="spellEnd"/>
      <w:r>
        <w:rPr>
          <w:sz w:val="24"/>
          <w:szCs w:val="24"/>
        </w:rPr>
        <w:t xml:space="preserve"> Parish Council </w:t>
      </w:r>
      <w:r w:rsidRPr="00FA46BD">
        <w:rPr>
          <w:sz w:val="24"/>
          <w:szCs w:val="24"/>
        </w:rPr>
        <w:t xml:space="preserve">handles Subject Access Requests (SARs) in compliance with the Data (Use and Access) Act 2025 (DUAA) and UK GDPR. It ensures individuals can exercise their right to access personal data held about them. </w:t>
      </w:r>
    </w:p>
    <w:p w14:paraId="0854DEBF" w14:textId="3AF1E8C1" w:rsidR="00FA46BD" w:rsidRPr="00FA46BD" w:rsidRDefault="00FA46BD" w:rsidP="00FA46BD">
      <w:pPr>
        <w:pStyle w:val="ListParagraph"/>
        <w:numPr>
          <w:ilvl w:val="0"/>
          <w:numId w:val="1"/>
        </w:numPr>
        <w:jc w:val="both"/>
        <w:rPr>
          <w:sz w:val="24"/>
          <w:szCs w:val="24"/>
        </w:rPr>
      </w:pPr>
      <w:r w:rsidRPr="00FA46BD">
        <w:rPr>
          <w:b/>
          <w:bCs/>
          <w:sz w:val="24"/>
          <w:szCs w:val="24"/>
        </w:rPr>
        <w:t>Scope</w:t>
      </w:r>
      <w:r w:rsidRPr="00FA46BD">
        <w:rPr>
          <w:sz w:val="24"/>
          <w:szCs w:val="24"/>
        </w:rPr>
        <w:t xml:space="preserve"> </w:t>
      </w:r>
    </w:p>
    <w:p w14:paraId="4D8D1223" w14:textId="77777777" w:rsidR="00FA46BD" w:rsidRDefault="00FA46BD" w:rsidP="00FA46BD">
      <w:pPr>
        <w:ind w:left="360"/>
        <w:jc w:val="both"/>
        <w:rPr>
          <w:sz w:val="24"/>
          <w:szCs w:val="24"/>
        </w:rPr>
      </w:pPr>
      <w:r w:rsidRPr="00FA46BD">
        <w:rPr>
          <w:sz w:val="24"/>
          <w:szCs w:val="24"/>
        </w:rPr>
        <w:t>This policy applies to all employees, contractors, and third-party processors who manage or process personal data on behalf of</w:t>
      </w:r>
      <w:r>
        <w:rPr>
          <w:sz w:val="24"/>
          <w:szCs w:val="24"/>
        </w:rPr>
        <w:t xml:space="preserve"> </w:t>
      </w:r>
      <w:proofErr w:type="spellStart"/>
      <w:r>
        <w:rPr>
          <w:sz w:val="24"/>
          <w:szCs w:val="24"/>
        </w:rPr>
        <w:t>Sidlesham</w:t>
      </w:r>
      <w:proofErr w:type="spellEnd"/>
      <w:r>
        <w:rPr>
          <w:sz w:val="24"/>
          <w:szCs w:val="24"/>
        </w:rPr>
        <w:t xml:space="preserve"> Parish Council</w:t>
      </w:r>
      <w:r w:rsidRPr="00FA46BD">
        <w:rPr>
          <w:sz w:val="24"/>
          <w:szCs w:val="24"/>
        </w:rPr>
        <w:t xml:space="preserve">. </w:t>
      </w:r>
    </w:p>
    <w:p w14:paraId="178E7C0E" w14:textId="5039E3CD" w:rsidR="00FA46BD" w:rsidRPr="00FA46BD" w:rsidRDefault="00FA46BD" w:rsidP="00FA46BD">
      <w:pPr>
        <w:pStyle w:val="ListParagraph"/>
        <w:numPr>
          <w:ilvl w:val="0"/>
          <w:numId w:val="1"/>
        </w:numPr>
        <w:jc w:val="both"/>
        <w:rPr>
          <w:sz w:val="24"/>
          <w:szCs w:val="24"/>
        </w:rPr>
      </w:pPr>
      <w:r w:rsidRPr="00FA46BD">
        <w:rPr>
          <w:b/>
          <w:bCs/>
          <w:sz w:val="24"/>
          <w:szCs w:val="24"/>
        </w:rPr>
        <w:t>Receiving a SAR</w:t>
      </w:r>
      <w:r w:rsidRPr="00FA46BD">
        <w:rPr>
          <w:sz w:val="24"/>
          <w:szCs w:val="24"/>
        </w:rPr>
        <w:t xml:space="preserve"> </w:t>
      </w:r>
    </w:p>
    <w:p w14:paraId="2096839E" w14:textId="77777777" w:rsidR="00FA46BD" w:rsidRDefault="00FA46BD" w:rsidP="00FA46BD">
      <w:pPr>
        <w:ind w:left="360"/>
        <w:jc w:val="both"/>
        <w:rPr>
          <w:sz w:val="24"/>
          <w:szCs w:val="24"/>
        </w:rPr>
      </w:pPr>
      <w:r w:rsidRPr="00FA46BD">
        <w:rPr>
          <w:sz w:val="24"/>
          <w:szCs w:val="24"/>
        </w:rPr>
        <w:t xml:space="preserve">• SARs may be submitted verbally or in writing, including via email or social media. </w:t>
      </w:r>
    </w:p>
    <w:p w14:paraId="4F58403F" w14:textId="77777777" w:rsidR="00FA46BD" w:rsidRDefault="00FA46BD" w:rsidP="00FA46BD">
      <w:pPr>
        <w:ind w:left="360"/>
        <w:jc w:val="both"/>
        <w:rPr>
          <w:sz w:val="24"/>
          <w:szCs w:val="24"/>
        </w:rPr>
      </w:pPr>
      <w:r w:rsidRPr="00FA46BD">
        <w:rPr>
          <w:sz w:val="24"/>
          <w:szCs w:val="24"/>
        </w:rPr>
        <w:t xml:space="preserve">• Requests do not need to mention “Subject Access Request” explicitly to be valid. </w:t>
      </w:r>
    </w:p>
    <w:p w14:paraId="73B6BF86" w14:textId="77777777" w:rsidR="00FA46BD" w:rsidRDefault="00FA46BD" w:rsidP="00FA46BD">
      <w:pPr>
        <w:ind w:left="360"/>
        <w:jc w:val="both"/>
        <w:rPr>
          <w:sz w:val="24"/>
          <w:szCs w:val="24"/>
        </w:rPr>
      </w:pPr>
      <w:r w:rsidRPr="00FA46BD">
        <w:rPr>
          <w:sz w:val="24"/>
          <w:szCs w:val="24"/>
        </w:rPr>
        <w:t xml:space="preserve">• All SARs must be forwarded to the Data Protection Officer (DPO) or designated compliance team immediately. </w:t>
      </w:r>
    </w:p>
    <w:p w14:paraId="26C67E1F" w14:textId="27E13A3D" w:rsidR="00FA46BD" w:rsidRPr="00FA46BD" w:rsidRDefault="00FA46BD" w:rsidP="00FA46BD">
      <w:pPr>
        <w:pStyle w:val="ListParagraph"/>
        <w:numPr>
          <w:ilvl w:val="0"/>
          <w:numId w:val="1"/>
        </w:numPr>
        <w:jc w:val="both"/>
        <w:rPr>
          <w:sz w:val="24"/>
          <w:szCs w:val="24"/>
        </w:rPr>
      </w:pPr>
      <w:r w:rsidRPr="00FA46BD">
        <w:rPr>
          <w:b/>
          <w:bCs/>
          <w:sz w:val="24"/>
          <w:szCs w:val="24"/>
        </w:rPr>
        <w:t>Verification of Identity</w:t>
      </w:r>
      <w:r w:rsidRPr="00FA46BD">
        <w:rPr>
          <w:sz w:val="24"/>
          <w:szCs w:val="24"/>
        </w:rPr>
        <w:t xml:space="preserve"> </w:t>
      </w:r>
    </w:p>
    <w:p w14:paraId="08E0ECE2" w14:textId="77777777" w:rsidR="00FA46BD" w:rsidRDefault="00FA46BD" w:rsidP="00FA46BD">
      <w:pPr>
        <w:ind w:left="360"/>
        <w:jc w:val="both"/>
        <w:rPr>
          <w:sz w:val="24"/>
          <w:szCs w:val="24"/>
        </w:rPr>
      </w:pPr>
      <w:r w:rsidRPr="00FA46BD">
        <w:rPr>
          <w:sz w:val="24"/>
          <w:szCs w:val="24"/>
        </w:rPr>
        <w:t xml:space="preserve">• Before processing, we may request proof of identity to ensure the requester is the data subject. </w:t>
      </w:r>
    </w:p>
    <w:p w14:paraId="7E8E8243" w14:textId="77777777" w:rsidR="00FA46BD" w:rsidRDefault="00FA46BD" w:rsidP="00FA46BD">
      <w:pPr>
        <w:ind w:left="360"/>
        <w:jc w:val="both"/>
        <w:rPr>
          <w:sz w:val="24"/>
          <w:szCs w:val="24"/>
        </w:rPr>
      </w:pPr>
      <w:r w:rsidRPr="00FA46BD">
        <w:rPr>
          <w:sz w:val="24"/>
          <w:szCs w:val="24"/>
        </w:rPr>
        <w:t xml:space="preserve">• Acceptable forms include a passport, driving licence, or other official documentation. </w:t>
      </w:r>
    </w:p>
    <w:p w14:paraId="70BA9027" w14:textId="4039205A" w:rsidR="00FA46BD" w:rsidRPr="00FA46BD" w:rsidRDefault="00FA46BD" w:rsidP="00FA46BD">
      <w:pPr>
        <w:pStyle w:val="ListParagraph"/>
        <w:numPr>
          <w:ilvl w:val="0"/>
          <w:numId w:val="1"/>
        </w:numPr>
        <w:jc w:val="both"/>
        <w:rPr>
          <w:sz w:val="24"/>
          <w:szCs w:val="24"/>
        </w:rPr>
      </w:pPr>
      <w:r w:rsidRPr="00FA46BD">
        <w:rPr>
          <w:b/>
          <w:bCs/>
          <w:sz w:val="24"/>
          <w:szCs w:val="24"/>
        </w:rPr>
        <w:t>Clarification and “Stop the Clock”</w:t>
      </w:r>
      <w:r w:rsidRPr="00FA46BD">
        <w:rPr>
          <w:sz w:val="24"/>
          <w:szCs w:val="24"/>
        </w:rPr>
        <w:t xml:space="preserve"> </w:t>
      </w:r>
    </w:p>
    <w:p w14:paraId="28F03894" w14:textId="77777777" w:rsidR="00FA46BD" w:rsidRDefault="00FA46BD" w:rsidP="00FA46BD">
      <w:pPr>
        <w:ind w:left="360"/>
        <w:jc w:val="both"/>
        <w:rPr>
          <w:sz w:val="24"/>
          <w:szCs w:val="24"/>
        </w:rPr>
      </w:pPr>
      <w:r w:rsidRPr="00FA46BD">
        <w:rPr>
          <w:sz w:val="24"/>
          <w:szCs w:val="24"/>
        </w:rPr>
        <w:t xml:space="preserve">• If the request is unclear or too broad, we will: </w:t>
      </w:r>
    </w:p>
    <w:p w14:paraId="6CC5128B" w14:textId="77777777" w:rsidR="00FA46BD" w:rsidRDefault="00FA46BD" w:rsidP="00FA46BD">
      <w:pPr>
        <w:ind w:left="360" w:firstLine="360"/>
        <w:jc w:val="both"/>
        <w:rPr>
          <w:sz w:val="24"/>
          <w:szCs w:val="24"/>
        </w:rPr>
      </w:pPr>
      <w:r w:rsidRPr="00FA46BD">
        <w:rPr>
          <w:sz w:val="24"/>
          <w:szCs w:val="24"/>
        </w:rPr>
        <w:t xml:space="preserve">◦ Contact the requester to clarify or refine the scope. </w:t>
      </w:r>
    </w:p>
    <w:p w14:paraId="4C3A0A04" w14:textId="77777777" w:rsidR="00FA46BD" w:rsidRDefault="00FA46BD" w:rsidP="00FA46BD">
      <w:pPr>
        <w:ind w:left="720"/>
        <w:jc w:val="both"/>
        <w:rPr>
          <w:sz w:val="24"/>
          <w:szCs w:val="24"/>
        </w:rPr>
      </w:pPr>
      <w:r w:rsidRPr="00FA46BD">
        <w:rPr>
          <w:sz w:val="24"/>
          <w:szCs w:val="24"/>
        </w:rPr>
        <w:t xml:space="preserve">◦ Pause the response deadline (“stop the clock”) until sufficient information is received. </w:t>
      </w:r>
    </w:p>
    <w:p w14:paraId="18624003" w14:textId="77777777" w:rsidR="00FA46BD" w:rsidRDefault="00FA46BD" w:rsidP="00FA46BD">
      <w:pPr>
        <w:ind w:firstLine="360"/>
        <w:jc w:val="both"/>
        <w:rPr>
          <w:sz w:val="24"/>
          <w:szCs w:val="24"/>
        </w:rPr>
      </w:pPr>
      <w:r w:rsidRPr="00FA46BD">
        <w:rPr>
          <w:sz w:val="24"/>
          <w:szCs w:val="24"/>
        </w:rPr>
        <w:t xml:space="preserve">• The one-month response period resumes once clarification is provided. </w:t>
      </w:r>
    </w:p>
    <w:p w14:paraId="5566C701" w14:textId="62ED5850" w:rsidR="00FA46BD" w:rsidRPr="00FA46BD" w:rsidRDefault="00FA46BD" w:rsidP="00FA46BD">
      <w:pPr>
        <w:pStyle w:val="ListParagraph"/>
        <w:numPr>
          <w:ilvl w:val="0"/>
          <w:numId w:val="1"/>
        </w:numPr>
        <w:jc w:val="both"/>
        <w:rPr>
          <w:sz w:val="24"/>
          <w:szCs w:val="24"/>
        </w:rPr>
      </w:pPr>
      <w:r w:rsidRPr="00FA46BD">
        <w:rPr>
          <w:b/>
          <w:bCs/>
          <w:sz w:val="24"/>
          <w:szCs w:val="24"/>
        </w:rPr>
        <w:lastRenderedPageBreak/>
        <w:t>Response Timeframe</w:t>
      </w:r>
      <w:r w:rsidRPr="00FA46BD">
        <w:rPr>
          <w:sz w:val="24"/>
          <w:szCs w:val="24"/>
        </w:rPr>
        <w:t xml:space="preserve"> </w:t>
      </w:r>
    </w:p>
    <w:p w14:paraId="5D95F8B1" w14:textId="77777777" w:rsidR="00FA46BD" w:rsidRDefault="00FA46BD" w:rsidP="00FA46BD">
      <w:pPr>
        <w:ind w:left="360"/>
        <w:jc w:val="both"/>
        <w:rPr>
          <w:sz w:val="24"/>
          <w:szCs w:val="24"/>
        </w:rPr>
      </w:pPr>
      <w:r w:rsidRPr="00FA46BD">
        <w:rPr>
          <w:sz w:val="24"/>
          <w:szCs w:val="24"/>
        </w:rPr>
        <w:t xml:space="preserve">• We will respond within one calendar month of receiving a valid request. </w:t>
      </w:r>
    </w:p>
    <w:p w14:paraId="0BF36931" w14:textId="77777777" w:rsidR="00FA46BD" w:rsidRDefault="00FA46BD" w:rsidP="00FA46BD">
      <w:pPr>
        <w:ind w:left="360"/>
        <w:jc w:val="both"/>
        <w:rPr>
          <w:sz w:val="24"/>
          <w:szCs w:val="24"/>
        </w:rPr>
      </w:pPr>
      <w:r w:rsidRPr="00FA46BD">
        <w:rPr>
          <w:sz w:val="24"/>
          <w:szCs w:val="24"/>
        </w:rPr>
        <w:t xml:space="preserve">• This may be extended by up to two months for complex or multiple requests, with notification to the requester. </w:t>
      </w:r>
    </w:p>
    <w:p w14:paraId="5AC32D05" w14:textId="0CA30CF5" w:rsidR="00FA46BD" w:rsidRPr="00FA46BD" w:rsidRDefault="00FA46BD" w:rsidP="00FA46BD">
      <w:pPr>
        <w:pStyle w:val="ListParagraph"/>
        <w:numPr>
          <w:ilvl w:val="0"/>
          <w:numId w:val="1"/>
        </w:numPr>
        <w:jc w:val="both"/>
        <w:rPr>
          <w:sz w:val="24"/>
          <w:szCs w:val="24"/>
        </w:rPr>
      </w:pPr>
      <w:r w:rsidRPr="00FA46BD">
        <w:rPr>
          <w:b/>
          <w:bCs/>
          <w:sz w:val="24"/>
          <w:szCs w:val="24"/>
        </w:rPr>
        <w:t>Scope of Search</w:t>
      </w:r>
      <w:r w:rsidRPr="00FA46BD">
        <w:rPr>
          <w:sz w:val="24"/>
          <w:szCs w:val="24"/>
        </w:rPr>
        <w:t xml:space="preserve"> </w:t>
      </w:r>
    </w:p>
    <w:p w14:paraId="328B839D" w14:textId="77777777" w:rsidR="00FA46BD" w:rsidRDefault="00FA46BD" w:rsidP="00FA46BD">
      <w:pPr>
        <w:ind w:left="360"/>
        <w:jc w:val="both"/>
        <w:rPr>
          <w:sz w:val="24"/>
          <w:szCs w:val="24"/>
        </w:rPr>
      </w:pPr>
      <w:r w:rsidRPr="00FA46BD">
        <w:rPr>
          <w:sz w:val="24"/>
          <w:szCs w:val="24"/>
        </w:rPr>
        <w:t xml:space="preserve">• Searches will be reasonable and proportionate, as codified under DUAA. </w:t>
      </w:r>
    </w:p>
    <w:p w14:paraId="495F0420" w14:textId="77777777" w:rsidR="00FA46BD" w:rsidRDefault="00FA46BD" w:rsidP="00FA46BD">
      <w:pPr>
        <w:ind w:left="360"/>
        <w:jc w:val="both"/>
        <w:rPr>
          <w:sz w:val="24"/>
          <w:szCs w:val="24"/>
        </w:rPr>
      </w:pPr>
      <w:r w:rsidRPr="00FA46BD">
        <w:rPr>
          <w:sz w:val="24"/>
          <w:szCs w:val="24"/>
        </w:rPr>
        <w:t xml:space="preserve">• We will identify systems likely to contain relevant personal data and avoid excessive or irrelevant searches. </w:t>
      </w:r>
    </w:p>
    <w:p w14:paraId="4CCA5972" w14:textId="09D6423C" w:rsidR="00FA46BD" w:rsidRPr="00FA46BD" w:rsidRDefault="00FA46BD" w:rsidP="00FA46BD">
      <w:pPr>
        <w:pStyle w:val="ListParagraph"/>
        <w:numPr>
          <w:ilvl w:val="0"/>
          <w:numId w:val="1"/>
        </w:numPr>
        <w:jc w:val="both"/>
        <w:rPr>
          <w:sz w:val="24"/>
          <w:szCs w:val="24"/>
        </w:rPr>
      </w:pPr>
      <w:r w:rsidRPr="00FA46BD">
        <w:rPr>
          <w:b/>
          <w:bCs/>
          <w:sz w:val="24"/>
          <w:szCs w:val="24"/>
        </w:rPr>
        <w:t>Information Provided We will provide:</w:t>
      </w:r>
      <w:r w:rsidRPr="00FA46BD">
        <w:rPr>
          <w:sz w:val="24"/>
          <w:szCs w:val="24"/>
        </w:rPr>
        <w:t xml:space="preserve"> </w:t>
      </w:r>
    </w:p>
    <w:p w14:paraId="21FAFB05" w14:textId="77777777" w:rsidR="00FA46BD" w:rsidRDefault="00FA46BD" w:rsidP="00FA46BD">
      <w:pPr>
        <w:ind w:left="360"/>
        <w:jc w:val="both"/>
        <w:rPr>
          <w:sz w:val="24"/>
          <w:szCs w:val="24"/>
        </w:rPr>
      </w:pPr>
      <w:r w:rsidRPr="00FA46BD">
        <w:rPr>
          <w:sz w:val="24"/>
          <w:szCs w:val="24"/>
        </w:rPr>
        <w:t xml:space="preserve">• Confirmation that personal data is being processed. </w:t>
      </w:r>
    </w:p>
    <w:p w14:paraId="2F84453A" w14:textId="77777777" w:rsidR="00FA46BD" w:rsidRDefault="00FA46BD" w:rsidP="00FA46BD">
      <w:pPr>
        <w:ind w:left="360"/>
        <w:jc w:val="both"/>
        <w:rPr>
          <w:sz w:val="24"/>
          <w:szCs w:val="24"/>
        </w:rPr>
      </w:pPr>
      <w:r w:rsidRPr="00FA46BD">
        <w:rPr>
          <w:sz w:val="24"/>
          <w:szCs w:val="24"/>
        </w:rPr>
        <w:t xml:space="preserve">• A copy of the personal data. </w:t>
      </w:r>
    </w:p>
    <w:p w14:paraId="117E7708" w14:textId="77777777" w:rsidR="00FA46BD" w:rsidRDefault="00FA46BD" w:rsidP="00FA46BD">
      <w:pPr>
        <w:ind w:left="360"/>
        <w:jc w:val="both"/>
        <w:rPr>
          <w:sz w:val="24"/>
          <w:szCs w:val="24"/>
        </w:rPr>
      </w:pPr>
      <w:r w:rsidRPr="00FA46BD">
        <w:rPr>
          <w:sz w:val="24"/>
          <w:szCs w:val="24"/>
        </w:rPr>
        <w:t xml:space="preserve">• Supplementary information including: </w:t>
      </w:r>
    </w:p>
    <w:p w14:paraId="642778FB" w14:textId="77777777" w:rsidR="00FA46BD" w:rsidRDefault="00FA46BD" w:rsidP="00FA46BD">
      <w:pPr>
        <w:ind w:left="360" w:firstLine="360"/>
        <w:jc w:val="both"/>
        <w:rPr>
          <w:sz w:val="24"/>
          <w:szCs w:val="24"/>
        </w:rPr>
      </w:pPr>
      <w:r w:rsidRPr="00FA46BD">
        <w:rPr>
          <w:sz w:val="24"/>
          <w:szCs w:val="24"/>
        </w:rPr>
        <w:t xml:space="preserve">◦ Purpose of processing. </w:t>
      </w:r>
    </w:p>
    <w:p w14:paraId="4CE399D6" w14:textId="77777777" w:rsidR="00FA46BD" w:rsidRDefault="00FA46BD" w:rsidP="00FA46BD">
      <w:pPr>
        <w:ind w:left="360" w:firstLine="360"/>
        <w:jc w:val="both"/>
        <w:rPr>
          <w:sz w:val="24"/>
          <w:szCs w:val="24"/>
        </w:rPr>
      </w:pPr>
      <w:r w:rsidRPr="00FA46BD">
        <w:rPr>
          <w:sz w:val="24"/>
          <w:szCs w:val="24"/>
        </w:rPr>
        <w:t xml:space="preserve">◦ Categories of personal data. </w:t>
      </w:r>
    </w:p>
    <w:p w14:paraId="3493F391" w14:textId="77777777" w:rsidR="00FA46BD" w:rsidRDefault="00FA46BD" w:rsidP="00FA46BD">
      <w:pPr>
        <w:ind w:left="360" w:firstLine="360"/>
        <w:jc w:val="both"/>
        <w:rPr>
          <w:sz w:val="24"/>
          <w:szCs w:val="24"/>
        </w:rPr>
      </w:pPr>
      <w:r w:rsidRPr="00FA46BD">
        <w:rPr>
          <w:sz w:val="24"/>
          <w:szCs w:val="24"/>
        </w:rPr>
        <w:t xml:space="preserve">◦ Recipients or categories of recipients. </w:t>
      </w:r>
    </w:p>
    <w:p w14:paraId="67505319" w14:textId="77777777" w:rsidR="00FA46BD" w:rsidRDefault="00FA46BD" w:rsidP="00FA46BD">
      <w:pPr>
        <w:ind w:left="360" w:firstLine="360"/>
        <w:jc w:val="both"/>
        <w:rPr>
          <w:sz w:val="24"/>
          <w:szCs w:val="24"/>
        </w:rPr>
      </w:pPr>
      <w:r w:rsidRPr="00FA46BD">
        <w:rPr>
          <w:sz w:val="24"/>
          <w:szCs w:val="24"/>
        </w:rPr>
        <w:t xml:space="preserve">◦ Retention periods. </w:t>
      </w:r>
    </w:p>
    <w:p w14:paraId="431644C1" w14:textId="77777777" w:rsidR="00FA46BD" w:rsidRDefault="00FA46BD" w:rsidP="00FA46BD">
      <w:pPr>
        <w:ind w:left="360" w:firstLine="360"/>
        <w:jc w:val="both"/>
        <w:rPr>
          <w:sz w:val="24"/>
          <w:szCs w:val="24"/>
        </w:rPr>
      </w:pPr>
      <w:r w:rsidRPr="00FA46BD">
        <w:rPr>
          <w:sz w:val="24"/>
          <w:szCs w:val="24"/>
        </w:rPr>
        <w:t xml:space="preserve">◦ Source of data (if not collected from the data subject). </w:t>
      </w:r>
    </w:p>
    <w:p w14:paraId="05AFF2CA" w14:textId="77777777" w:rsidR="00FA46BD" w:rsidRDefault="00FA46BD" w:rsidP="00FA46BD">
      <w:pPr>
        <w:ind w:left="360" w:firstLine="360"/>
        <w:jc w:val="both"/>
        <w:rPr>
          <w:sz w:val="24"/>
          <w:szCs w:val="24"/>
        </w:rPr>
      </w:pPr>
      <w:r w:rsidRPr="00FA46BD">
        <w:rPr>
          <w:sz w:val="24"/>
          <w:szCs w:val="24"/>
        </w:rPr>
        <w:t xml:space="preserve">◦ Information about automated decision-making. </w:t>
      </w:r>
    </w:p>
    <w:p w14:paraId="72E66545" w14:textId="0BC7ED00" w:rsidR="00FA46BD" w:rsidRPr="00FA46BD" w:rsidRDefault="00FA46BD" w:rsidP="00FA46BD">
      <w:pPr>
        <w:pStyle w:val="ListParagraph"/>
        <w:numPr>
          <w:ilvl w:val="0"/>
          <w:numId w:val="1"/>
        </w:numPr>
        <w:jc w:val="both"/>
        <w:rPr>
          <w:sz w:val="24"/>
          <w:szCs w:val="24"/>
        </w:rPr>
      </w:pPr>
      <w:r w:rsidRPr="00FA46BD">
        <w:rPr>
          <w:b/>
          <w:bCs/>
          <w:sz w:val="24"/>
          <w:szCs w:val="24"/>
        </w:rPr>
        <w:t>Exemptions</w:t>
      </w:r>
      <w:r w:rsidRPr="00FA46BD">
        <w:rPr>
          <w:sz w:val="24"/>
          <w:szCs w:val="24"/>
        </w:rPr>
        <w:t xml:space="preserve"> </w:t>
      </w:r>
    </w:p>
    <w:p w14:paraId="7E9D6AC8" w14:textId="77777777" w:rsidR="00FA46BD" w:rsidRDefault="00FA46BD" w:rsidP="00FA46BD">
      <w:pPr>
        <w:ind w:left="360"/>
        <w:jc w:val="both"/>
        <w:rPr>
          <w:sz w:val="24"/>
          <w:szCs w:val="24"/>
        </w:rPr>
      </w:pPr>
      <w:r w:rsidRPr="00FA46BD">
        <w:rPr>
          <w:sz w:val="24"/>
          <w:szCs w:val="24"/>
        </w:rPr>
        <w:t xml:space="preserve">We may withhold data if: </w:t>
      </w:r>
    </w:p>
    <w:p w14:paraId="10436961" w14:textId="77777777" w:rsidR="00FA46BD" w:rsidRDefault="00FA46BD" w:rsidP="00FA46BD">
      <w:pPr>
        <w:ind w:left="360"/>
        <w:jc w:val="both"/>
        <w:rPr>
          <w:sz w:val="24"/>
          <w:szCs w:val="24"/>
        </w:rPr>
      </w:pPr>
      <w:r w:rsidRPr="00FA46BD">
        <w:rPr>
          <w:sz w:val="24"/>
          <w:szCs w:val="24"/>
        </w:rPr>
        <w:t xml:space="preserve">• It includes personal data of other individuals (unless consent is given or it’s reasonable to disclose). </w:t>
      </w:r>
    </w:p>
    <w:p w14:paraId="629D962A" w14:textId="77777777" w:rsidR="00FA46BD" w:rsidRDefault="00FA46BD" w:rsidP="00FA46BD">
      <w:pPr>
        <w:ind w:left="360"/>
        <w:jc w:val="both"/>
        <w:rPr>
          <w:sz w:val="24"/>
          <w:szCs w:val="24"/>
        </w:rPr>
      </w:pPr>
      <w:r w:rsidRPr="00FA46BD">
        <w:rPr>
          <w:sz w:val="24"/>
          <w:szCs w:val="24"/>
        </w:rPr>
        <w:t xml:space="preserve">• Disclosure would prejudice legal proceedings, law enforcement, or regulatory functions. </w:t>
      </w:r>
    </w:p>
    <w:p w14:paraId="7982B62A" w14:textId="77777777" w:rsidR="00FA46BD" w:rsidRDefault="00FA46BD" w:rsidP="00FA46BD">
      <w:pPr>
        <w:ind w:left="360"/>
        <w:jc w:val="both"/>
        <w:rPr>
          <w:sz w:val="24"/>
          <w:szCs w:val="24"/>
        </w:rPr>
      </w:pPr>
      <w:r w:rsidRPr="00FA46BD">
        <w:rPr>
          <w:sz w:val="24"/>
          <w:szCs w:val="24"/>
        </w:rPr>
        <w:t xml:space="preserve">• It includes confidential references or legally privileged information. </w:t>
      </w:r>
    </w:p>
    <w:p w14:paraId="7CAF8EBC" w14:textId="7603CF29" w:rsidR="00FA46BD" w:rsidRPr="00FA46BD" w:rsidRDefault="00FA46BD" w:rsidP="00FA46BD">
      <w:pPr>
        <w:pStyle w:val="ListParagraph"/>
        <w:numPr>
          <w:ilvl w:val="0"/>
          <w:numId w:val="1"/>
        </w:numPr>
        <w:jc w:val="both"/>
        <w:rPr>
          <w:sz w:val="24"/>
          <w:szCs w:val="24"/>
        </w:rPr>
      </w:pPr>
      <w:r w:rsidRPr="00FA46BD">
        <w:rPr>
          <w:b/>
          <w:bCs/>
          <w:sz w:val="24"/>
          <w:szCs w:val="24"/>
        </w:rPr>
        <w:t>Record Keeping</w:t>
      </w:r>
      <w:r w:rsidRPr="00FA46BD">
        <w:rPr>
          <w:sz w:val="24"/>
          <w:szCs w:val="24"/>
        </w:rPr>
        <w:t xml:space="preserve"> </w:t>
      </w:r>
    </w:p>
    <w:p w14:paraId="3EB6DD26" w14:textId="77777777" w:rsidR="00FA46BD" w:rsidRDefault="00FA46BD" w:rsidP="00FA46BD">
      <w:pPr>
        <w:ind w:left="360"/>
        <w:jc w:val="both"/>
        <w:rPr>
          <w:sz w:val="24"/>
          <w:szCs w:val="24"/>
        </w:rPr>
      </w:pPr>
      <w:r w:rsidRPr="00FA46BD">
        <w:rPr>
          <w:sz w:val="24"/>
          <w:szCs w:val="24"/>
        </w:rPr>
        <w:t xml:space="preserve">• All SARs and responses will be logged and retained for audit and compliance purposes. </w:t>
      </w:r>
    </w:p>
    <w:p w14:paraId="53EFE7B9" w14:textId="35998EC2" w:rsidR="00FA46BD" w:rsidRPr="00FA46BD" w:rsidRDefault="00FA46BD" w:rsidP="00FA46BD">
      <w:pPr>
        <w:pStyle w:val="ListParagraph"/>
        <w:numPr>
          <w:ilvl w:val="0"/>
          <w:numId w:val="1"/>
        </w:numPr>
        <w:jc w:val="both"/>
        <w:rPr>
          <w:sz w:val="24"/>
          <w:szCs w:val="24"/>
        </w:rPr>
      </w:pPr>
      <w:r w:rsidRPr="00FA46BD">
        <w:rPr>
          <w:b/>
          <w:bCs/>
          <w:sz w:val="24"/>
          <w:szCs w:val="24"/>
        </w:rPr>
        <w:t>Training and Awareness</w:t>
      </w:r>
      <w:r w:rsidRPr="00FA46BD">
        <w:rPr>
          <w:sz w:val="24"/>
          <w:szCs w:val="24"/>
        </w:rPr>
        <w:t xml:space="preserve"> </w:t>
      </w:r>
    </w:p>
    <w:p w14:paraId="271054CB" w14:textId="77777777" w:rsidR="00FA46BD" w:rsidRDefault="00FA46BD" w:rsidP="00FA46BD">
      <w:pPr>
        <w:ind w:left="360"/>
        <w:jc w:val="both"/>
        <w:rPr>
          <w:sz w:val="24"/>
          <w:szCs w:val="24"/>
        </w:rPr>
      </w:pPr>
      <w:r w:rsidRPr="00FA46BD">
        <w:rPr>
          <w:sz w:val="24"/>
          <w:szCs w:val="24"/>
        </w:rPr>
        <w:t xml:space="preserve">• Staff handling personal data will receive regular training on SAR procedures and DUAA compliance. </w:t>
      </w:r>
    </w:p>
    <w:p w14:paraId="46CDAC44" w14:textId="5B56899D" w:rsidR="00FA46BD" w:rsidRPr="00FA46BD" w:rsidRDefault="00FA46BD" w:rsidP="00FA46BD">
      <w:pPr>
        <w:pStyle w:val="ListParagraph"/>
        <w:numPr>
          <w:ilvl w:val="0"/>
          <w:numId w:val="1"/>
        </w:numPr>
        <w:jc w:val="both"/>
        <w:rPr>
          <w:sz w:val="24"/>
          <w:szCs w:val="24"/>
        </w:rPr>
      </w:pPr>
      <w:r w:rsidRPr="00FA46BD">
        <w:rPr>
          <w:b/>
          <w:bCs/>
          <w:sz w:val="24"/>
          <w:szCs w:val="24"/>
        </w:rPr>
        <w:lastRenderedPageBreak/>
        <w:t>Review</w:t>
      </w:r>
      <w:r w:rsidRPr="00FA46BD">
        <w:rPr>
          <w:sz w:val="24"/>
          <w:szCs w:val="24"/>
        </w:rPr>
        <w:t xml:space="preserve"> </w:t>
      </w:r>
    </w:p>
    <w:p w14:paraId="754D541E" w14:textId="48FB5BDF" w:rsidR="00FA46BD" w:rsidRDefault="00FA46BD" w:rsidP="00FA46BD">
      <w:pPr>
        <w:ind w:left="360"/>
        <w:jc w:val="both"/>
        <w:rPr>
          <w:sz w:val="24"/>
          <w:szCs w:val="24"/>
        </w:rPr>
      </w:pPr>
      <w:r w:rsidRPr="00FA46BD">
        <w:rPr>
          <w:sz w:val="24"/>
          <w:szCs w:val="24"/>
        </w:rPr>
        <w:t>This policy will be reviewed annually or upon significant legal changes</w:t>
      </w:r>
      <w:r>
        <w:rPr>
          <w:sz w:val="24"/>
          <w:szCs w:val="24"/>
        </w:rPr>
        <w:t>.</w:t>
      </w:r>
    </w:p>
    <w:p w14:paraId="1CA0AF40" w14:textId="77777777" w:rsidR="00FA46BD" w:rsidRDefault="00FA46BD" w:rsidP="00FA46BD">
      <w:pPr>
        <w:ind w:left="360"/>
        <w:jc w:val="both"/>
        <w:rPr>
          <w:sz w:val="24"/>
          <w:szCs w:val="24"/>
        </w:rPr>
      </w:pPr>
    </w:p>
    <w:p w14:paraId="70295CC1" w14:textId="121C3DA4" w:rsidR="00FA46BD" w:rsidRDefault="00FA46BD" w:rsidP="00FA46BD">
      <w:pPr>
        <w:ind w:left="360"/>
        <w:jc w:val="both"/>
        <w:rPr>
          <w:sz w:val="24"/>
          <w:szCs w:val="24"/>
        </w:rPr>
      </w:pPr>
      <w:r>
        <w:rPr>
          <w:sz w:val="24"/>
          <w:szCs w:val="24"/>
        </w:rPr>
        <w:t>Approved:</w:t>
      </w:r>
    </w:p>
    <w:p w14:paraId="181E6F4F" w14:textId="4F3DA94C" w:rsidR="00FA46BD" w:rsidRDefault="00FA46BD" w:rsidP="00FA46BD">
      <w:pPr>
        <w:ind w:left="360"/>
        <w:jc w:val="both"/>
        <w:rPr>
          <w:sz w:val="24"/>
          <w:szCs w:val="24"/>
        </w:rPr>
      </w:pPr>
      <w:r>
        <w:rPr>
          <w:sz w:val="24"/>
          <w:szCs w:val="24"/>
        </w:rPr>
        <w:t>Review:</w:t>
      </w:r>
    </w:p>
    <w:p w14:paraId="63E05CA4" w14:textId="0262D50B" w:rsidR="00FA46BD" w:rsidRPr="00FA46BD" w:rsidRDefault="00FA46BD" w:rsidP="00FA46BD">
      <w:pPr>
        <w:ind w:left="360"/>
        <w:jc w:val="both"/>
        <w:rPr>
          <w:sz w:val="24"/>
          <w:szCs w:val="24"/>
        </w:rPr>
      </w:pPr>
      <w:r>
        <w:rPr>
          <w:sz w:val="24"/>
          <w:szCs w:val="24"/>
        </w:rPr>
        <w:t>Minute Reference:</w:t>
      </w:r>
    </w:p>
    <w:sectPr w:rsidR="00FA46BD" w:rsidRPr="00FA4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90D87"/>
    <w:multiLevelType w:val="hybridMultilevel"/>
    <w:tmpl w:val="D4CAD5F4"/>
    <w:lvl w:ilvl="0" w:tplc="12E8BF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08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BD"/>
    <w:rsid w:val="004617E4"/>
    <w:rsid w:val="006A3332"/>
    <w:rsid w:val="00B51A93"/>
    <w:rsid w:val="00B93805"/>
    <w:rsid w:val="00FA4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60CB"/>
  <w15:chartTrackingRefBased/>
  <w15:docId w15:val="{E3CBEE96-8A36-4845-A452-091EFC7E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BD"/>
    <w:rPr>
      <w:rFonts w:eastAsiaTheme="majorEastAsia" w:cstheme="majorBidi"/>
      <w:color w:val="272727" w:themeColor="text1" w:themeTint="D8"/>
    </w:rPr>
  </w:style>
  <w:style w:type="paragraph" w:styleId="Title">
    <w:name w:val="Title"/>
    <w:basedOn w:val="Normal"/>
    <w:next w:val="Normal"/>
    <w:link w:val="TitleChar"/>
    <w:uiPriority w:val="10"/>
    <w:qFormat/>
    <w:rsid w:val="00FA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6BD"/>
    <w:pPr>
      <w:spacing w:before="160"/>
      <w:jc w:val="center"/>
    </w:pPr>
    <w:rPr>
      <w:i/>
      <w:iCs/>
      <w:color w:val="404040" w:themeColor="text1" w:themeTint="BF"/>
    </w:rPr>
  </w:style>
  <w:style w:type="character" w:customStyle="1" w:styleId="QuoteChar">
    <w:name w:val="Quote Char"/>
    <w:basedOn w:val="DefaultParagraphFont"/>
    <w:link w:val="Quote"/>
    <w:uiPriority w:val="29"/>
    <w:rsid w:val="00FA46BD"/>
    <w:rPr>
      <w:i/>
      <w:iCs/>
      <w:color w:val="404040" w:themeColor="text1" w:themeTint="BF"/>
    </w:rPr>
  </w:style>
  <w:style w:type="paragraph" w:styleId="ListParagraph">
    <w:name w:val="List Paragraph"/>
    <w:basedOn w:val="Normal"/>
    <w:uiPriority w:val="34"/>
    <w:qFormat/>
    <w:rsid w:val="00FA46BD"/>
    <w:pPr>
      <w:ind w:left="720"/>
      <w:contextualSpacing/>
    </w:pPr>
  </w:style>
  <w:style w:type="character" w:styleId="IntenseEmphasis">
    <w:name w:val="Intense Emphasis"/>
    <w:basedOn w:val="DefaultParagraphFont"/>
    <w:uiPriority w:val="21"/>
    <w:qFormat/>
    <w:rsid w:val="00FA46BD"/>
    <w:rPr>
      <w:i/>
      <w:iCs/>
      <w:color w:val="0F4761" w:themeColor="accent1" w:themeShade="BF"/>
    </w:rPr>
  </w:style>
  <w:style w:type="paragraph" w:styleId="IntenseQuote">
    <w:name w:val="Intense Quote"/>
    <w:basedOn w:val="Normal"/>
    <w:next w:val="Normal"/>
    <w:link w:val="IntenseQuoteChar"/>
    <w:uiPriority w:val="30"/>
    <w:qFormat/>
    <w:rsid w:val="00FA4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BD"/>
    <w:rPr>
      <w:i/>
      <w:iCs/>
      <w:color w:val="0F4761" w:themeColor="accent1" w:themeShade="BF"/>
    </w:rPr>
  </w:style>
  <w:style w:type="character" w:styleId="IntenseReference">
    <w:name w:val="Intense Reference"/>
    <w:basedOn w:val="DefaultParagraphFont"/>
    <w:uiPriority w:val="32"/>
    <w:qFormat/>
    <w:rsid w:val="00FA4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2025-10-02T17:02:00Z</dcterms:created>
  <dcterms:modified xsi:type="dcterms:W3CDTF">2025-10-02T17:11:00Z</dcterms:modified>
</cp:coreProperties>
</file>