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2C090D" w:rsidRPr="002C090D" w14:paraId="77B83CF8"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3774"/>
              <w:gridCol w:w="7476"/>
            </w:tblGrid>
            <w:tr w:rsidR="002C090D" w:rsidRPr="002C090D" w14:paraId="1D8DAD91" w14:textId="77777777">
              <w:trPr>
                <w:tblCellSpacing w:w="0" w:type="dxa"/>
              </w:trPr>
              <w:tc>
                <w:tcPr>
                  <w:tcW w:w="0" w:type="auto"/>
                  <w:vAlign w:val="bottom"/>
                  <w:hideMark/>
                </w:tcPr>
                <w:p w14:paraId="1EC8114D" w14:textId="77777777" w:rsidR="002C090D" w:rsidRPr="002C090D" w:rsidRDefault="002C090D" w:rsidP="002C090D">
                  <w:r w:rsidRPr="002C090D">
                    <w:t xml:space="preserve">NEWS RELEASE </w:t>
                  </w:r>
                </w:p>
              </w:tc>
              <w:tc>
                <w:tcPr>
                  <w:tcW w:w="0" w:type="auto"/>
                  <w:vAlign w:val="center"/>
                  <w:hideMark/>
                </w:tcPr>
                <w:p w14:paraId="7C4C7E14" w14:textId="015360C4" w:rsidR="002C090D" w:rsidRPr="002C090D" w:rsidRDefault="002C090D" w:rsidP="002C090D">
                  <w:r w:rsidRPr="002C090D">
                    <w:drawing>
                      <wp:inline distT="0" distB="0" distL="0" distR="0" wp14:anchorId="29E80DAB" wp14:editId="1B21F8D2">
                        <wp:extent cx="2194560" cy="1455420"/>
                        <wp:effectExtent l="0" t="0" r="0" b="0"/>
                        <wp:docPr id="952308943"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4560" cy="1455420"/>
                                </a:xfrm>
                                <a:prstGeom prst="rect">
                                  <a:avLst/>
                                </a:prstGeom>
                                <a:noFill/>
                                <a:ln>
                                  <a:noFill/>
                                </a:ln>
                              </pic:spPr>
                            </pic:pic>
                          </a:graphicData>
                        </a:graphic>
                      </wp:inline>
                    </w:drawing>
                  </w:r>
                </w:p>
              </w:tc>
            </w:tr>
          </w:tbl>
          <w:p w14:paraId="5F486785" w14:textId="77777777" w:rsidR="002C090D" w:rsidRPr="002C090D" w:rsidRDefault="002C090D" w:rsidP="002C090D"/>
        </w:tc>
      </w:tr>
      <w:tr w:rsidR="002C090D" w:rsidRPr="002C090D" w14:paraId="632A899A" w14:textId="77777777">
        <w:trPr>
          <w:tblCellSpacing w:w="0" w:type="dxa"/>
          <w:jc w:val="center"/>
        </w:trPr>
        <w:tc>
          <w:tcPr>
            <w:tcW w:w="0" w:type="auto"/>
            <w:shd w:val="clear" w:color="auto" w:fill="FFFFFF"/>
            <w:vAlign w:val="center"/>
            <w:hideMark/>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2C090D" w:rsidRPr="002C090D" w14:paraId="5AE6FE32"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890"/>
                  </w:tblGrid>
                  <w:tr w:rsidR="002C090D" w:rsidRPr="002C090D" w14:paraId="5FD78FDB"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10890"/>
                        </w:tblGrid>
                        <w:tr w:rsidR="002C090D" w:rsidRPr="002C090D" w14:paraId="34196F08" w14:textId="77777777">
                          <w:trPr>
                            <w:tblCellSpacing w:w="0" w:type="dxa"/>
                          </w:trPr>
                          <w:tc>
                            <w:tcPr>
                              <w:tcW w:w="0" w:type="auto"/>
                              <w:vAlign w:val="center"/>
                              <w:hideMark/>
                            </w:tcPr>
                            <w:p w14:paraId="7207E642" w14:textId="77777777" w:rsidR="002C090D" w:rsidRPr="002C090D" w:rsidRDefault="002C090D" w:rsidP="002C090D">
                              <w:r w:rsidRPr="002C090D">
                                <w:t xml:space="preserve">  </w:t>
                              </w:r>
                            </w:p>
                          </w:tc>
                        </w:tr>
                        <w:tr w:rsidR="002C090D" w:rsidRPr="002C090D" w14:paraId="05E2A975" w14:textId="77777777">
                          <w:trPr>
                            <w:tblCellSpacing w:w="0" w:type="dxa"/>
                          </w:trPr>
                          <w:tc>
                            <w:tcPr>
                              <w:tcW w:w="0" w:type="auto"/>
                              <w:vAlign w:val="center"/>
                              <w:hideMark/>
                            </w:tcPr>
                            <w:p w14:paraId="4EC565E4" w14:textId="77777777" w:rsidR="002C090D" w:rsidRPr="002C090D" w:rsidRDefault="002C090D" w:rsidP="002C090D">
                              <w:r w:rsidRPr="002C090D">
                                <w:t xml:space="preserve">13 October 2025 </w:t>
                              </w:r>
                            </w:p>
                          </w:tc>
                        </w:tr>
                        <w:tr w:rsidR="002C090D" w:rsidRPr="002C090D" w14:paraId="7FB402F4" w14:textId="77777777">
                          <w:trPr>
                            <w:tblCellSpacing w:w="0" w:type="dxa"/>
                          </w:trPr>
                          <w:tc>
                            <w:tcPr>
                              <w:tcW w:w="0" w:type="auto"/>
                              <w:vAlign w:val="center"/>
                              <w:hideMark/>
                            </w:tcPr>
                            <w:p w14:paraId="638BA7DF" w14:textId="77777777" w:rsidR="002C090D" w:rsidRPr="002C090D" w:rsidRDefault="002C090D" w:rsidP="002C090D">
                              <w:r w:rsidRPr="002C090D">
                                <w:t xml:space="preserve">  </w:t>
                              </w:r>
                            </w:p>
                          </w:tc>
                        </w:tr>
                      </w:tbl>
                      <w:p w14:paraId="37E24EE4" w14:textId="77777777" w:rsidR="002C090D" w:rsidRPr="002C090D" w:rsidRDefault="002C090D" w:rsidP="002C090D">
                        <w:pPr>
                          <w:rPr>
                            <w:vanish/>
                          </w:rPr>
                        </w:pPr>
                      </w:p>
                      <w:tbl>
                        <w:tblPr>
                          <w:tblW w:w="5000" w:type="pct"/>
                          <w:tblCellSpacing w:w="0" w:type="dxa"/>
                          <w:tblCellMar>
                            <w:left w:w="0" w:type="dxa"/>
                            <w:right w:w="0" w:type="dxa"/>
                          </w:tblCellMar>
                          <w:tblLook w:val="04A0" w:firstRow="1" w:lastRow="0" w:firstColumn="1" w:lastColumn="0" w:noHBand="0" w:noVBand="1"/>
                        </w:tblPr>
                        <w:tblGrid>
                          <w:gridCol w:w="10890"/>
                        </w:tblGrid>
                        <w:tr w:rsidR="002C090D" w:rsidRPr="002C090D" w14:paraId="19C7FE70" w14:textId="77777777">
                          <w:trPr>
                            <w:tblCellSpacing w:w="0" w:type="dxa"/>
                          </w:trPr>
                          <w:tc>
                            <w:tcPr>
                              <w:tcW w:w="0" w:type="auto"/>
                              <w:vAlign w:val="center"/>
                              <w:hideMark/>
                            </w:tcPr>
                            <w:p w14:paraId="7FF94B3A" w14:textId="77777777" w:rsidR="002C090D" w:rsidRPr="002C090D" w:rsidRDefault="002C090D" w:rsidP="002C090D">
                              <w:r w:rsidRPr="002C090D">
                                <w:rPr>
                                  <w:b/>
                                  <w:bCs/>
                                </w:rPr>
                                <w:t xml:space="preserve">County Council’s new strategy tracks flood risk to the source </w:t>
                              </w:r>
                            </w:p>
                          </w:tc>
                        </w:tr>
                        <w:tr w:rsidR="002C090D" w:rsidRPr="002C090D" w14:paraId="3C6A0F2C" w14:textId="77777777">
                          <w:trPr>
                            <w:tblCellSpacing w:w="0" w:type="dxa"/>
                          </w:trPr>
                          <w:tc>
                            <w:tcPr>
                              <w:tcW w:w="0" w:type="auto"/>
                              <w:vAlign w:val="center"/>
                              <w:hideMark/>
                            </w:tcPr>
                            <w:p w14:paraId="2878C6A9" w14:textId="77777777" w:rsidR="002C090D" w:rsidRPr="002C090D" w:rsidRDefault="002C090D" w:rsidP="002C090D">
                              <w:r w:rsidRPr="002C090D">
                                <w:t xml:space="preserve">  </w:t>
                              </w:r>
                            </w:p>
                          </w:tc>
                        </w:tr>
                        <w:tr w:rsidR="002C090D" w:rsidRPr="002C090D" w14:paraId="53D1BC26" w14:textId="77777777">
                          <w:trPr>
                            <w:tblCellSpacing w:w="0" w:type="dxa"/>
                          </w:trPr>
                          <w:tc>
                            <w:tcPr>
                              <w:tcW w:w="0" w:type="auto"/>
                              <w:vAlign w:val="center"/>
                            </w:tcPr>
                            <w:p w14:paraId="4BD4D34A" w14:textId="1FACC273" w:rsidR="002C090D" w:rsidRPr="002C090D" w:rsidRDefault="002C090D" w:rsidP="002C090D">
                              <w:r w:rsidRPr="002C090D">
                                <w:drawing>
                                  <wp:inline distT="0" distB="0" distL="0" distR="0" wp14:anchorId="46613582" wp14:editId="4FC4EFC9">
                                    <wp:extent cx="4587240" cy="2567940"/>
                                    <wp:effectExtent l="0" t="0" r="3810" b="3810"/>
                                    <wp:docPr id="1593959794" name="Picture 7" descr="22614 13.10.25">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2614 13.10.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87240" cy="2567940"/>
                                            </a:xfrm>
                                            <a:prstGeom prst="rect">
                                              <a:avLst/>
                                            </a:prstGeom>
                                            <a:noFill/>
                                            <a:ln>
                                              <a:noFill/>
                                            </a:ln>
                                          </pic:spPr>
                                        </pic:pic>
                                      </a:graphicData>
                                    </a:graphic>
                                  </wp:inline>
                                </w:drawing>
                              </w:r>
                            </w:p>
                            <w:p w14:paraId="3EBAA296" w14:textId="77777777" w:rsidR="002C090D" w:rsidRPr="002C090D" w:rsidRDefault="002C090D" w:rsidP="002C090D">
                              <w:r w:rsidRPr="002C090D">
                                <w:t> </w:t>
                              </w:r>
                            </w:p>
                            <w:p w14:paraId="18FC3321" w14:textId="77777777" w:rsidR="002C090D" w:rsidRPr="002C090D" w:rsidRDefault="002C090D" w:rsidP="002C090D">
                              <w:r w:rsidRPr="002C090D">
                                <w:t>It is easy to blame the weather or blocked drains when flooding occurs after heavy rain, but it is often caused by a combination of small and seemingly unconnected factors that can occur miles away from where the impact is seen.</w:t>
                              </w:r>
                              <w:r w:rsidRPr="002C090D">
                                <w:rPr>
                                  <w:rFonts w:ascii="Arial" w:hAnsi="Arial" w:cs="Arial"/>
                                </w:rPr>
                                <w:t>  </w:t>
                              </w:r>
                              <w:r w:rsidRPr="002C090D">
                                <w:t> </w:t>
                              </w:r>
                            </w:p>
                            <w:p w14:paraId="1E423C47" w14:textId="77777777" w:rsidR="002C090D" w:rsidRPr="002C090D" w:rsidRDefault="002C090D" w:rsidP="002C090D">
                              <w:r w:rsidRPr="002C090D">
                                <w:rPr>
                                  <w:rFonts w:ascii="Arial" w:hAnsi="Arial" w:cs="Arial"/>
                                </w:rPr>
                                <w:t>  </w:t>
                              </w:r>
                              <w:r w:rsidRPr="002C090D">
                                <w:t> </w:t>
                              </w:r>
                            </w:p>
                            <w:p w14:paraId="6E0F279D" w14:textId="77777777" w:rsidR="002C090D" w:rsidRPr="002C090D" w:rsidRDefault="002C090D" w:rsidP="002C090D">
                              <w:r w:rsidRPr="002C090D">
                                <w:t>This is why West Sussex County Council’s new Local Flood Risk Management Strategy takes a catchment-based approach to find flood risks along the water’s journey from its source to where it finally discharges.</w:t>
                              </w:r>
                              <w:r w:rsidRPr="002C090D">
                                <w:rPr>
                                  <w:rFonts w:ascii="Arial" w:hAnsi="Arial" w:cs="Arial"/>
                                </w:rPr>
                                <w:t> </w:t>
                              </w:r>
                              <w:r w:rsidRPr="002C090D">
                                <w:t> </w:t>
                              </w:r>
                            </w:p>
                            <w:p w14:paraId="566F983C" w14:textId="77777777" w:rsidR="002C090D" w:rsidRPr="002C090D" w:rsidRDefault="002C090D" w:rsidP="002C090D">
                              <w:r w:rsidRPr="002C090D">
                                <w:rPr>
                                  <w:rFonts w:ascii="Arial" w:hAnsi="Arial" w:cs="Arial"/>
                                </w:rPr>
                                <w:t>  </w:t>
                              </w:r>
                              <w:r w:rsidRPr="002C090D">
                                <w:t> </w:t>
                              </w:r>
                            </w:p>
                            <w:p w14:paraId="12302CB6" w14:textId="77777777" w:rsidR="002C090D" w:rsidRPr="002C090D" w:rsidRDefault="002C090D" w:rsidP="002C090D">
                              <w:r w:rsidRPr="002C090D">
                                <w:t xml:space="preserve">Through tracking the whole water cycle, the catchment approach enables the council to take action to remove or minimise risk factors before the heavy rain comes, protecting the surrounding communities. These risks could include water draining off agricultural land too quickly, a poorly maintained ditch, blocked culvert or unmanaged </w:t>
                              </w:r>
                              <w:r w:rsidRPr="002C090D">
                                <w:lastRenderedPageBreak/>
                                <w:t>water run-off from a development. It also considers factors that can increase the risk along the way, such as flood plains and major developments.</w:t>
                              </w:r>
                              <w:r w:rsidRPr="002C090D">
                                <w:rPr>
                                  <w:rFonts w:ascii="Arial" w:hAnsi="Arial" w:cs="Arial"/>
                                </w:rPr>
                                <w:t>  </w:t>
                              </w:r>
                              <w:r w:rsidRPr="002C090D">
                                <w:t> </w:t>
                              </w:r>
                            </w:p>
                            <w:p w14:paraId="5D2FFFB5" w14:textId="77777777" w:rsidR="002C090D" w:rsidRPr="002C090D" w:rsidRDefault="002C090D" w:rsidP="002C090D">
                              <w:r w:rsidRPr="002C090D">
                                <w:rPr>
                                  <w:rFonts w:ascii="Arial" w:hAnsi="Arial" w:cs="Arial"/>
                                </w:rPr>
                                <w:t>  </w:t>
                              </w:r>
                              <w:r w:rsidRPr="002C090D">
                                <w:t> </w:t>
                              </w:r>
                            </w:p>
                            <w:p w14:paraId="1571A86F" w14:textId="77777777" w:rsidR="002C090D" w:rsidRPr="002C090D" w:rsidRDefault="002C090D" w:rsidP="002C090D">
                              <w:r w:rsidRPr="002C090D">
                                <w:t>Excess water will always overflow, but the strategy looks for ways to slow it down or contain it. This can be as simple as creating a natural leaky damn across a brook, to encouraging architects and construction companies to design sustainable developments that manage how water will flow through and away from a site.</w:t>
                              </w:r>
                              <w:r w:rsidRPr="002C090D">
                                <w:rPr>
                                  <w:rFonts w:ascii="Arial" w:hAnsi="Arial" w:cs="Arial"/>
                                </w:rPr>
                                <w:t>  </w:t>
                              </w:r>
                              <w:r w:rsidRPr="002C090D">
                                <w:t> </w:t>
                              </w:r>
                            </w:p>
                            <w:p w14:paraId="44577075" w14:textId="77777777" w:rsidR="002C090D" w:rsidRPr="002C090D" w:rsidRDefault="002C090D" w:rsidP="002C090D">
                              <w:r w:rsidRPr="002C090D">
                                <w:rPr>
                                  <w:rFonts w:ascii="Arial" w:hAnsi="Arial" w:cs="Arial"/>
                                </w:rPr>
                                <w:t>  </w:t>
                              </w:r>
                              <w:r w:rsidRPr="002C090D">
                                <w:t> </w:t>
                              </w:r>
                            </w:p>
                            <w:p w14:paraId="698212F1" w14:textId="77777777" w:rsidR="002C090D" w:rsidRPr="002C090D" w:rsidRDefault="002C090D" w:rsidP="002C090D">
                              <w:r w:rsidRPr="002C090D">
                                <w:t>Councillor Deborah Urquhart, West Sussex County Council’s cabinet member for the Environment and Climate Change, said: “Integral to Our Council Plan is our commitment to manage flood risk with our partners to ensure our residents are better prepared for and resilient to flooding. In West Sussex, with rivers, wetlands and floodplains bordered by the Downs and the sea, we can be at risk of serious flooding after heavy rain, as we recently experienced in 2024. Understanding our unique environment and working with it is the best way to reduce our flood risk.</w:t>
                              </w:r>
                              <w:r w:rsidRPr="002C090D">
                                <w:rPr>
                                  <w:rFonts w:ascii="Arial" w:hAnsi="Arial" w:cs="Arial"/>
                                </w:rPr>
                                <w:t>  </w:t>
                              </w:r>
                              <w:r w:rsidRPr="002C090D">
                                <w:t xml:space="preserve"> </w:t>
                              </w:r>
                              <w:r w:rsidRPr="002C090D">
                                <w:rPr>
                                  <w:rFonts w:ascii="Arial" w:hAnsi="Arial" w:cs="Arial"/>
                                </w:rPr>
                                <w:t> </w:t>
                              </w:r>
                              <w:r w:rsidRPr="002C090D">
                                <w:t> </w:t>
                              </w:r>
                            </w:p>
                            <w:p w14:paraId="3E1D8A9B" w14:textId="77777777" w:rsidR="002C090D" w:rsidRPr="002C090D" w:rsidRDefault="002C090D" w:rsidP="002C090D">
                              <w:r w:rsidRPr="002C090D">
                                <w:rPr>
                                  <w:rFonts w:ascii="Arial" w:hAnsi="Arial" w:cs="Arial"/>
                                </w:rPr>
                                <w:t>  </w:t>
                              </w:r>
                              <w:r w:rsidRPr="002C090D">
                                <w:t> </w:t>
                              </w:r>
                            </w:p>
                            <w:p w14:paraId="0E5B3B19" w14:textId="77777777" w:rsidR="002C090D" w:rsidRPr="002C090D" w:rsidRDefault="002C090D" w:rsidP="002C090D">
                              <w:r w:rsidRPr="002C090D">
                                <w:t>“Tracking where excess water starts and thinking about how to slow it down and store it is guiding our strategy to manage how water flows around our county. Water does not respect boundaries or titles, so it’s important that everyone with responsibility for water management works together, from landowners with a ditch on their land, to architects and engineers designing developments and infrastructure projects.  </w:t>
                              </w:r>
                            </w:p>
                            <w:p w14:paraId="5CF6D8F1" w14:textId="77777777" w:rsidR="002C090D" w:rsidRPr="002C090D" w:rsidRDefault="002C090D" w:rsidP="002C090D">
                              <w:r w:rsidRPr="002C090D">
                                <w:t> </w:t>
                              </w:r>
                            </w:p>
                            <w:p w14:paraId="04ED6B7F" w14:textId="77777777" w:rsidR="002C090D" w:rsidRPr="002C090D" w:rsidRDefault="002C090D" w:rsidP="002C090D">
                              <w:r w:rsidRPr="002C090D">
                                <w:t>“That’s why we’re working closely with environmental groups and communities to give them the support to develop local projects, because small interventions combine to make a major difference to prevent a flood risk developing.”</w:t>
                              </w:r>
                              <w:r w:rsidRPr="002C090D">
                                <w:rPr>
                                  <w:rFonts w:ascii="Arial" w:hAnsi="Arial" w:cs="Arial"/>
                                </w:rPr>
                                <w:t> </w:t>
                              </w:r>
                              <w:r w:rsidRPr="002C090D">
                                <w:t> </w:t>
                              </w:r>
                            </w:p>
                            <w:p w14:paraId="28CC5414" w14:textId="225677FE" w:rsidR="002C090D" w:rsidRPr="002C090D" w:rsidRDefault="002C090D" w:rsidP="002C090D"/>
                            <w:p w14:paraId="41C23E02" w14:textId="545428E4" w:rsidR="002C090D" w:rsidRPr="002C090D" w:rsidRDefault="002C090D" w:rsidP="002C090D">
                              <w:r w:rsidRPr="002C090D">
                                <w:rPr>
                                  <w:b/>
                                  <w:bCs/>
                                </w:rPr>
                                <w:t xml:space="preserve">For further information please contact the news desk on 0330 222 8090 or email </w:t>
                              </w:r>
                              <w:hyperlink r:id="rId7" w:history="1">
                                <w:r w:rsidRPr="002C090D">
                                  <w:rPr>
                                    <w:rStyle w:val="Hyperlink"/>
                                    <w:b/>
                                    <w:bCs/>
                                  </w:rPr>
                                  <w:t>pressoffice@westsussex.gov.uk</w:t>
                                </w:r>
                              </w:hyperlink>
                              <w:r w:rsidRPr="002C090D">
                                <w:rPr>
                                  <w:b/>
                                  <w:bCs/>
                                </w:rPr>
                                <w:t xml:space="preserve">. </w:t>
                              </w:r>
                              <w:r w:rsidRPr="002C090D">
                                <w:rPr>
                                  <w:b/>
                                  <w:bCs/>
                                </w:rPr>
                                <w:br/>
                              </w:r>
                              <w:r w:rsidRPr="002C090D">
                                <w:rPr>
                                  <w:b/>
                                  <w:bCs/>
                                </w:rPr>
                                <w:br/>
                                <w:t xml:space="preserve">For urgent out-of-hours enquiries please call 07767 098415. </w:t>
                              </w:r>
                              <w:r w:rsidRPr="002C090D">
                                <w:br/>
                              </w:r>
                              <w:r w:rsidRPr="002C090D">
                                <w:br/>
                              </w:r>
                              <w:r w:rsidRPr="002C090D">
                                <w:drawing>
                                  <wp:inline distT="0" distB="0" distL="0" distR="0" wp14:anchorId="1A4E94A5" wp14:editId="7882FDEB">
                                    <wp:extent cx="609600" cy="594360"/>
                                    <wp:effectExtent l="0" t="0" r="0" b="0"/>
                                    <wp:docPr id="1085647697" name="Picture 6" descr="Faceboo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cebo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2C090D">
                                <w:t> </w:t>
                              </w:r>
                              <w:r w:rsidRPr="002C090D">
                                <w:t xml:space="preserve"> </w:t>
                              </w:r>
                              <w:r w:rsidRPr="002C090D">
                                <w:drawing>
                                  <wp:inline distT="0" distB="0" distL="0" distR="0" wp14:anchorId="53A93E4E" wp14:editId="3D1ECCBF">
                                    <wp:extent cx="609600" cy="601980"/>
                                    <wp:effectExtent l="0" t="0" r="0" b="7620"/>
                                    <wp:docPr id="1315270676" name="Picture 5" descr="Twitt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wi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302BED73" w14:textId="77777777" w:rsidR="002C090D" w:rsidRPr="002C090D" w:rsidRDefault="002C090D" w:rsidP="002C090D">
                        <w:pPr>
                          <w:rPr>
                            <w:vanish/>
                          </w:rPr>
                        </w:pPr>
                      </w:p>
                      <w:tbl>
                        <w:tblPr>
                          <w:tblW w:w="9000" w:type="dxa"/>
                          <w:tblCellSpacing w:w="0" w:type="dxa"/>
                          <w:tblCellMar>
                            <w:left w:w="0" w:type="dxa"/>
                            <w:right w:w="0" w:type="dxa"/>
                          </w:tblCellMar>
                          <w:tblLook w:val="04A0" w:firstRow="1" w:lastRow="0" w:firstColumn="1" w:lastColumn="0" w:noHBand="0" w:noVBand="1"/>
                        </w:tblPr>
                        <w:tblGrid>
                          <w:gridCol w:w="9000"/>
                        </w:tblGrid>
                        <w:tr w:rsidR="002C090D" w:rsidRPr="002C090D" w14:paraId="7D9B0C9B" w14:textId="77777777">
                          <w:trPr>
                            <w:tblCellSpacing w:w="0" w:type="dxa"/>
                          </w:trPr>
                          <w:tc>
                            <w:tcPr>
                              <w:tcW w:w="0" w:type="auto"/>
                              <w:vAlign w:val="center"/>
                              <w:hideMark/>
                            </w:tcPr>
                            <w:p w14:paraId="204120FB" w14:textId="77777777" w:rsidR="002C090D" w:rsidRPr="002C090D" w:rsidRDefault="002C090D" w:rsidP="002C090D">
                              <w:hyperlink r:id="rId12" w:history="1">
                                <w:r w:rsidRPr="002C090D">
                                  <w:rPr>
                                    <w:rStyle w:val="Hyperlink"/>
                                  </w:rPr>
                                  <w:t>Click to Unsubscribe</w:t>
                                </w:r>
                              </w:hyperlink>
                            </w:p>
                          </w:tc>
                        </w:tr>
                      </w:tbl>
                      <w:p w14:paraId="403F84D4" w14:textId="77777777" w:rsidR="002C090D" w:rsidRPr="002C090D" w:rsidRDefault="002C090D" w:rsidP="002C090D"/>
                    </w:tc>
                  </w:tr>
                </w:tbl>
                <w:p w14:paraId="6BB6B267" w14:textId="77777777" w:rsidR="002C090D" w:rsidRPr="002C090D" w:rsidRDefault="002C090D" w:rsidP="002C090D"/>
              </w:tc>
            </w:tr>
          </w:tbl>
          <w:p w14:paraId="6AB2A9D7" w14:textId="77777777" w:rsidR="002C090D" w:rsidRPr="002C090D" w:rsidRDefault="002C090D" w:rsidP="002C090D"/>
        </w:tc>
      </w:tr>
    </w:tbl>
    <w:p w14:paraId="523CF7C4"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0D"/>
    <w:rsid w:val="002C090D"/>
    <w:rsid w:val="004617E4"/>
    <w:rsid w:val="006A3332"/>
    <w:rsid w:val="006C5AC8"/>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4533"/>
  <w15:chartTrackingRefBased/>
  <w15:docId w15:val="{9101F585-2547-44B0-BFFE-57E6DBB1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90D"/>
    <w:rPr>
      <w:rFonts w:eastAsiaTheme="majorEastAsia" w:cstheme="majorBidi"/>
      <w:color w:val="272727" w:themeColor="text1" w:themeTint="D8"/>
    </w:rPr>
  </w:style>
  <w:style w:type="paragraph" w:styleId="Title">
    <w:name w:val="Title"/>
    <w:basedOn w:val="Normal"/>
    <w:next w:val="Normal"/>
    <w:link w:val="TitleChar"/>
    <w:uiPriority w:val="10"/>
    <w:qFormat/>
    <w:rsid w:val="002C0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90D"/>
    <w:pPr>
      <w:spacing w:before="160"/>
      <w:jc w:val="center"/>
    </w:pPr>
    <w:rPr>
      <w:i/>
      <w:iCs/>
      <w:color w:val="404040" w:themeColor="text1" w:themeTint="BF"/>
    </w:rPr>
  </w:style>
  <w:style w:type="character" w:customStyle="1" w:styleId="QuoteChar">
    <w:name w:val="Quote Char"/>
    <w:basedOn w:val="DefaultParagraphFont"/>
    <w:link w:val="Quote"/>
    <w:uiPriority w:val="29"/>
    <w:rsid w:val="002C090D"/>
    <w:rPr>
      <w:i/>
      <w:iCs/>
      <w:color w:val="404040" w:themeColor="text1" w:themeTint="BF"/>
    </w:rPr>
  </w:style>
  <w:style w:type="paragraph" w:styleId="ListParagraph">
    <w:name w:val="List Paragraph"/>
    <w:basedOn w:val="Normal"/>
    <w:uiPriority w:val="34"/>
    <w:qFormat/>
    <w:rsid w:val="002C090D"/>
    <w:pPr>
      <w:ind w:left="720"/>
      <w:contextualSpacing/>
    </w:pPr>
  </w:style>
  <w:style w:type="character" w:styleId="IntenseEmphasis">
    <w:name w:val="Intense Emphasis"/>
    <w:basedOn w:val="DefaultParagraphFont"/>
    <w:uiPriority w:val="21"/>
    <w:qFormat/>
    <w:rsid w:val="002C090D"/>
    <w:rPr>
      <w:i/>
      <w:iCs/>
      <w:color w:val="0F4761" w:themeColor="accent1" w:themeShade="BF"/>
    </w:rPr>
  </w:style>
  <w:style w:type="paragraph" w:styleId="IntenseQuote">
    <w:name w:val="Intense Quote"/>
    <w:basedOn w:val="Normal"/>
    <w:next w:val="Normal"/>
    <w:link w:val="IntenseQuoteChar"/>
    <w:uiPriority w:val="30"/>
    <w:qFormat/>
    <w:rsid w:val="002C0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90D"/>
    <w:rPr>
      <w:i/>
      <w:iCs/>
      <w:color w:val="0F4761" w:themeColor="accent1" w:themeShade="BF"/>
    </w:rPr>
  </w:style>
  <w:style w:type="character" w:styleId="IntenseReference">
    <w:name w:val="Intense Reference"/>
    <w:basedOn w:val="DefaultParagraphFont"/>
    <w:uiPriority w:val="32"/>
    <w:qFormat/>
    <w:rsid w:val="002C090D"/>
    <w:rPr>
      <w:b/>
      <w:bCs/>
      <w:smallCaps/>
      <w:color w:val="0F4761" w:themeColor="accent1" w:themeShade="BF"/>
      <w:spacing w:val="5"/>
    </w:rPr>
  </w:style>
  <w:style w:type="character" w:styleId="Hyperlink">
    <w:name w:val="Hyperlink"/>
    <w:basedOn w:val="DefaultParagraphFont"/>
    <w:uiPriority w:val="99"/>
    <w:unhideWhenUsed/>
    <w:rsid w:val="002C090D"/>
    <w:rPr>
      <w:color w:val="467886" w:themeColor="hyperlink"/>
      <w:u w:val="single"/>
    </w:rPr>
  </w:style>
  <w:style w:type="character" w:styleId="UnresolvedMention">
    <w:name w:val="Unresolved Mention"/>
    <w:basedOn w:val="DefaultParagraphFont"/>
    <w:uiPriority w:val="99"/>
    <w:semiHidden/>
    <w:unhideWhenUsed/>
    <w:rsid w:val="002C0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estSussexC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essoffice@westsussex.gov.uk" TargetMode="External"/><Relationship Id="rId12" Type="http://schemas.openxmlformats.org/officeDocument/2006/relationships/hyperlink" Target="http://tracking.vuelio.westsussex.gov.uk/tracking/unsubscribe?d=qG9BDl0Wp8oTKyxWIbo55bGMNvOMF0Sf6m6MoRe8m-7QoWG1LMi_UV3veORgtCHgClYT3WSxFhNQ1tj445P4zf4H9gFZ7BYCs_a7yoxZE6s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hyperlink" Target="https://dmscdn.vuelio.co.uk/publicitem/8226b8d6-d305-4954-80d3-16425efc58d3" TargetMode="External"/><Relationship Id="rId10" Type="http://schemas.openxmlformats.org/officeDocument/2006/relationships/hyperlink" Target="https://twitter.com/WSCCNews" TargetMode="External"/><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2025-10-14T08:21:00Z</dcterms:created>
  <dcterms:modified xsi:type="dcterms:W3CDTF">2025-10-14T08:21:00Z</dcterms:modified>
</cp:coreProperties>
</file>