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8174" w14:textId="3A14515C" w:rsidR="00DA0966" w:rsidRDefault="00DA0966" w:rsidP="00DA0966">
      <w:pPr>
        <w:jc w:val="center"/>
      </w:pPr>
      <w:r w:rsidRPr="00D703F0">
        <w:rPr>
          <w:rFonts w:ascii="Arial" w:hAnsi="Arial" w:cs="Arial"/>
          <w:b/>
          <w:noProof/>
          <w:szCs w:val="24"/>
        </w:rPr>
        <w:drawing>
          <wp:inline distT="0" distB="0" distL="0" distR="0" wp14:anchorId="38820612" wp14:editId="6F2FBD99">
            <wp:extent cx="3550920" cy="1333500"/>
            <wp:effectExtent l="0" t="0" r="0" b="0"/>
            <wp:docPr id="951448514" name="Picture 1" descr="A logo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fly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0920" cy="1333500"/>
                    </a:xfrm>
                    <a:prstGeom prst="rect">
                      <a:avLst/>
                    </a:prstGeom>
                    <a:noFill/>
                    <a:ln>
                      <a:noFill/>
                    </a:ln>
                  </pic:spPr>
                </pic:pic>
              </a:graphicData>
            </a:graphic>
          </wp:inline>
        </w:drawing>
      </w:r>
    </w:p>
    <w:p w14:paraId="1030D007" w14:textId="77777777" w:rsidR="00DA0966" w:rsidRDefault="00DA0966" w:rsidP="00F71546">
      <w:pPr>
        <w:rPr>
          <w:b/>
          <w:bCs/>
          <w:sz w:val="48"/>
          <w:szCs w:val="48"/>
        </w:rPr>
      </w:pPr>
    </w:p>
    <w:p w14:paraId="198258BA" w14:textId="284F95C1" w:rsidR="00F71546" w:rsidRPr="00DA0966" w:rsidRDefault="00F71546" w:rsidP="00DA0966">
      <w:pPr>
        <w:jc w:val="center"/>
        <w:rPr>
          <w:b/>
          <w:bCs/>
          <w:sz w:val="48"/>
          <w:szCs w:val="48"/>
        </w:rPr>
      </w:pPr>
      <w:r w:rsidRPr="00DA0966">
        <w:rPr>
          <w:b/>
          <w:bCs/>
          <w:sz w:val="48"/>
          <w:szCs w:val="48"/>
        </w:rPr>
        <w:t>RISK MANAGEMENT POLICY</w:t>
      </w:r>
    </w:p>
    <w:p w14:paraId="3D4C4487" w14:textId="77777777" w:rsidR="00DA530E" w:rsidRDefault="00DA530E" w:rsidP="00DA0966">
      <w:pPr>
        <w:jc w:val="both"/>
        <w:rPr>
          <w:b/>
          <w:bCs/>
          <w:sz w:val="28"/>
          <w:szCs w:val="28"/>
        </w:rPr>
      </w:pPr>
    </w:p>
    <w:p w14:paraId="38929024" w14:textId="24110DD4" w:rsidR="00F71546" w:rsidRPr="00DA0966" w:rsidRDefault="00F71546" w:rsidP="00DA0966">
      <w:pPr>
        <w:jc w:val="both"/>
        <w:rPr>
          <w:b/>
          <w:bCs/>
          <w:sz w:val="28"/>
          <w:szCs w:val="28"/>
        </w:rPr>
      </w:pPr>
      <w:r w:rsidRPr="00DA0966">
        <w:rPr>
          <w:b/>
          <w:bCs/>
          <w:sz w:val="28"/>
          <w:szCs w:val="28"/>
        </w:rPr>
        <w:t>Introduction</w:t>
      </w:r>
    </w:p>
    <w:p w14:paraId="69B0943C" w14:textId="77777777" w:rsidR="00F71546" w:rsidRPr="00DA0966" w:rsidRDefault="00F71546" w:rsidP="00DA0966">
      <w:pPr>
        <w:jc w:val="both"/>
        <w:rPr>
          <w:sz w:val="24"/>
          <w:szCs w:val="24"/>
        </w:rPr>
      </w:pPr>
      <w:r w:rsidRPr="00DA0966">
        <w:rPr>
          <w:sz w:val="24"/>
          <w:szCs w:val="24"/>
        </w:rPr>
        <w:t>Risk Management is the means to counter the threat that an event or action will adversely affect an organisation’s ability to achieve its objectives and to successfully execute its strategies. Risk management is the process by which risks are identified, evaluated and controlled. It is a key element of the framework of governance together with community focus, structures and processes, standard of conduct and service delivery (Audit Commission)</w:t>
      </w:r>
    </w:p>
    <w:p w14:paraId="3633B5DD" w14:textId="77777777" w:rsidR="00F71546" w:rsidRPr="00DA0966" w:rsidRDefault="00F71546" w:rsidP="00DA0966">
      <w:pPr>
        <w:jc w:val="both"/>
        <w:rPr>
          <w:sz w:val="24"/>
          <w:szCs w:val="24"/>
        </w:rPr>
      </w:pPr>
      <w:r w:rsidRPr="00DA0966">
        <w:rPr>
          <w:sz w:val="24"/>
          <w:szCs w:val="24"/>
        </w:rPr>
        <w:t>Risk Management is an essential feature of good governance. An organisation that manages risk well is more likely to achieve its objectives. It is vital to recognise that risk management is not simply about health and safety but applies to all aspects of the Council’s work.</w:t>
      </w:r>
    </w:p>
    <w:p w14:paraId="78D4A09F" w14:textId="5C0366C5" w:rsidR="00F71546" w:rsidRPr="00DA0966" w:rsidRDefault="00F71546" w:rsidP="00DA0966">
      <w:pPr>
        <w:jc w:val="both"/>
        <w:rPr>
          <w:sz w:val="24"/>
          <w:szCs w:val="24"/>
        </w:rPr>
      </w:pPr>
      <w:r w:rsidRPr="00DA0966">
        <w:rPr>
          <w:sz w:val="24"/>
          <w:szCs w:val="24"/>
        </w:rPr>
        <w:t xml:space="preserve">Risks can be classified into various </w:t>
      </w:r>
      <w:r w:rsidR="00DA0966" w:rsidRPr="00DA0966">
        <w:rPr>
          <w:sz w:val="24"/>
          <w:szCs w:val="24"/>
        </w:rPr>
        <w:t>types,</w:t>
      </w:r>
      <w:r w:rsidRPr="00DA0966">
        <w:rPr>
          <w:sz w:val="24"/>
          <w:szCs w:val="24"/>
        </w:rPr>
        <w:t xml:space="preserve"> but it is important to recognise that for all categories the direct financial losses may have less impact than the indirect costs such as disruption to normal working. Examples are below:</w:t>
      </w:r>
    </w:p>
    <w:p w14:paraId="1022DC97" w14:textId="21B8DC3E" w:rsidR="00F71546" w:rsidRPr="00DA0966" w:rsidRDefault="00F71546" w:rsidP="00DA0966">
      <w:pPr>
        <w:jc w:val="both"/>
        <w:rPr>
          <w:sz w:val="24"/>
          <w:szCs w:val="24"/>
        </w:rPr>
      </w:pPr>
      <w:r w:rsidRPr="00DA0966">
        <w:rPr>
          <w:sz w:val="24"/>
          <w:szCs w:val="24"/>
        </w:rPr>
        <w:t xml:space="preserve">a) </w:t>
      </w:r>
      <w:r w:rsidRPr="00DA0966">
        <w:rPr>
          <w:b/>
          <w:bCs/>
          <w:sz w:val="24"/>
          <w:szCs w:val="24"/>
        </w:rPr>
        <w:t>Strategic Risk</w:t>
      </w:r>
      <w:r w:rsidRPr="00DA0966">
        <w:rPr>
          <w:sz w:val="24"/>
          <w:szCs w:val="24"/>
        </w:rPr>
        <w:t xml:space="preserve"> – long term adverse impacts from poor decision making or poor implementation. Risk of damage to the reputation of the </w:t>
      </w:r>
      <w:r w:rsidR="00DA0966">
        <w:rPr>
          <w:sz w:val="24"/>
          <w:szCs w:val="24"/>
        </w:rPr>
        <w:t>C</w:t>
      </w:r>
      <w:r w:rsidRPr="00DA0966">
        <w:rPr>
          <w:sz w:val="24"/>
          <w:szCs w:val="24"/>
        </w:rPr>
        <w:t>ouncil, loss of public confidence and in a worst-case scenario Government intervention</w:t>
      </w:r>
    </w:p>
    <w:p w14:paraId="247544D4" w14:textId="77777777" w:rsidR="00F71546" w:rsidRPr="00DA0966" w:rsidRDefault="00F71546" w:rsidP="00DA0966">
      <w:pPr>
        <w:jc w:val="both"/>
        <w:rPr>
          <w:sz w:val="24"/>
          <w:szCs w:val="24"/>
        </w:rPr>
      </w:pPr>
      <w:r w:rsidRPr="00DA0966">
        <w:rPr>
          <w:sz w:val="24"/>
          <w:szCs w:val="24"/>
        </w:rPr>
        <w:lastRenderedPageBreak/>
        <w:t xml:space="preserve">b) </w:t>
      </w:r>
      <w:r w:rsidRPr="00DA0966">
        <w:rPr>
          <w:b/>
          <w:bCs/>
          <w:sz w:val="24"/>
          <w:szCs w:val="24"/>
        </w:rPr>
        <w:t>Compliance Risk</w:t>
      </w:r>
      <w:r w:rsidRPr="00DA0966">
        <w:rPr>
          <w:sz w:val="24"/>
          <w:szCs w:val="24"/>
        </w:rPr>
        <w:t xml:space="preserve"> - failure to comply with legislation, or laid down procedures, or the lack of documentation to prove compliance. Risk of exposure to prosecution, judicial review, employment tribunals, inability to enforce contracts</w:t>
      </w:r>
    </w:p>
    <w:p w14:paraId="41DE46CB" w14:textId="77777777" w:rsidR="00F71546" w:rsidRPr="00DA0966" w:rsidRDefault="00F71546" w:rsidP="00DA0966">
      <w:pPr>
        <w:jc w:val="both"/>
        <w:rPr>
          <w:sz w:val="24"/>
          <w:szCs w:val="24"/>
        </w:rPr>
      </w:pPr>
      <w:r w:rsidRPr="00DA0966">
        <w:rPr>
          <w:sz w:val="24"/>
          <w:szCs w:val="24"/>
        </w:rPr>
        <w:t xml:space="preserve">c) </w:t>
      </w:r>
      <w:r w:rsidRPr="00DA0966">
        <w:rPr>
          <w:b/>
          <w:bCs/>
          <w:sz w:val="24"/>
          <w:szCs w:val="24"/>
        </w:rPr>
        <w:t>Financial Risk</w:t>
      </w:r>
      <w:r w:rsidRPr="00DA0966">
        <w:rPr>
          <w:sz w:val="24"/>
          <w:szCs w:val="24"/>
        </w:rPr>
        <w:t xml:space="preserve"> – fraud and corruption, waste, excess demand for services, bad debts. Risk of additional audit investigation, objection to accounts, reduced service delivery, dramatically increased Council Tax levels/impact on Council reserves</w:t>
      </w:r>
    </w:p>
    <w:p w14:paraId="074EA20E" w14:textId="77777777" w:rsidR="00F71546" w:rsidRPr="00DA0966" w:rsidRDefault="00F71546" w:rsidP="00DA0966">
      <w:pPr>
        <w:jc w:val="both"/>
        <w:rPr>
          <w:sz w:val="24"/>
          <w:szCs w:val="24"/>
        </w:rPr>
      </w:pPr>
      <w:r w:rsidRPr="00DA0966">
        <w:rPr>
          <w:sz w:val="24"/>
          <w:szCs w:val="24"/>
        </w:rPr>
        <w:t xml:space="preserve">d) </w:t>
      </w:r>
      <w:r w:rsidRPr="00DA0966">
        <w:rPr>
          <w:b/>
          <w:bCs/>
          <w:sz w:val="24"/>
          <w:szCs w:val="24"/>
        </w:rPr>
        <w:t>Operating Risk</w:t>
      </w:r>
      <w:r w:rsidRPr="00DA0966">
        <w:rPr>
          <w:sz w:val="24"/>
          <w:szCs w:val="24"/>
        </w:rPr>
        <w:t xml:space="preserve"> - failure to deliver services effectively, malfunctioning equipment, hazards to service users, the public or staff, damage to property. Risk of insurance claims, higher insurance premiums, lengthy recovery processes.</w:t>
      </w:r>
    </w:p>
    <w:p w14:paraId="6EABB16C" w14:textId="77777777" w:rsidR="00F71546" w:rsidRPr="00DA0966" w:rsidRDefault="00F71546" w:rsidP="00DA0966">
      <w:pPr>
        <w:jc w:val="both"/>
        <w:rPr>
          <w:sz w:val="24"/>
          <w:szCs w:val="24"/>
        </w:rPr>
      </w:pPr>
      <w:r w:rsidRPr="00DA0966">
        <w:rPr>
          <w:sz w:val="24"/>
          <w:szCs w:val="24"/>
        </w:rPr>
        <w:t>Not all these risks are insurable and for some the premiums may not be cost effective. Even when insurance is available, a monetary consideration may not be an adequate recompense. The emphasis should always be on eliminating or reducing risk before costly steps to transfer risk to another party are considered.</w:t>
      </w:r>
    </w:p>
    <w:p w14:paraId="4BC2813B" w14:textId="77777777" w:rsidR="00F71546" w:rsidRPr="00DA0966" w:rsidRDefault="00F71546" w:rsidP="00DA0966">
      <w:pPr>
        <w:jc w:val="both"/>
        <w:rPr>
          <w:b/>
          <w:bCs/>
          <w:sz w:val="28"/>
          <w:szCs w:val="28"/>
        </w:rPr>
      </w:pPr>
      <w:r w:rsidRPr="00DA0966">
        <w:rPr>
          <w:b/>
          <w:bCs/>
          <w:sz w:val="28"/>
          <w:szCs w:val="28"/>
        </w:rPr>
        <w:t>Risk Management Policy Statement</w:t>
      </w:r>
    </w:p>
    <w:p w14:paraId="7FE49E27" w14:textId="48FE53C0" w:rsidR="00F71546" w:rsidRPr="00DA0966" w:rsidRDefault="00DA0966" w:rsidP="00DA0966">
      <w:pPr>
        <w:jc w:val="both"/>
        <w:rPr>
          <w:sz w:val="24"/>
          <w:szCs w:val="24"/>
        </w:rPr>
      </w:pPr>
      <w:proofErr w:type="spellStart"/>
      <w:r>
        <w:rPr>
          <w:sz w:val="24"/>
          <w:szCs w:val="24"/>
        </w:rPr>
        <w:t>Sidlesham</w:t>
      </w:r>
      <w:proofErr w:type="spellEnd"/>
      <w:r w:rsidR="00F71546" w:rsidRPr="00DA0966">
        <w:rPr>
          <w:sz w:val="24"/>
          <w:szCs w:val="24"/>
        </w:rPr>
        <w:t xml:space="preserve"> Parish Council recognises that it has a responsibility to manage risk effectively to protect employees, assets, liabilities and the community against potential losses and to minimise uncertainty in achieving its goals.</w:t>
      </w:r>
    </w:p>
    <w:p w14:paraId="009449B0" w14:textId="0F3B24AE" w:rsidR="00F71546" w:rsidRPr="00DA0966" w:rsidRDefault="00F71546" w:rsidP="00DA0966">
      <w:pPr>
        <w:jc w:val="both"/>
        <w:rPr>
          <w:sz w:val="24"/>
          <w:szCs w:val="24"/>
        </w:rPr>
      </w:pPr>
      <w:r w:rsidRPr="00DA0966">
        <w:rPr>
          <w:sz w:val="24"/>
          <w:szCs w:val="24"/>
        </w:rPr>
        <w:t xml:space="preserve">The Council is aware that some risks can never be eliminated </w:t>
      </w:r>
      <w:r w:rsidR="008960C9" w:rsidRPr="00DA0966">
        <w:rPr>
          <w:sz w:val="24"/>
          <w:szCs w:val="24"/>
        </w:rPr>
        <w:t>fully,</w:t>
      </w:r>
      <w:r w:rsidRPr="00DA0966">
        <w:rPr>
          <w:sz w:val="24"/>
          <w:szCs w:val="24"/>
        </w:rPr>
        <w:t xml:space="preserve"> and it has in place a strategy that provides a structured, systematic and focused approach to risk management. Risk management is an integral part of the Council’s management processes.</w:t>
      </w:r>
    </w:p>
    <w:p w14:paraId="53DBA0CE" w14:textId="77777777" w:rsidR="00F71546" w:rsidRPr="008960C9" w:rsidRDefault="00F71546" w:rsidP="00DA0966">
      <w:pPr>
        <w:jc w:val="both"/>
        <w:rPr>
          <w:b/>
          <w:bCs/>
          <w:sz w:val="28"/>
          <w:szCs w:val="28"/>
        </w:rPr>
      </w:pPr>
      <w:r w:rsidRPr="008960C9">
        <w:rPr>
          <w:b/>
          <w:bCs/>
          <w:sz w:val="28"/>
          <w:szCs w:val="28"/>
        </w:rPr>
        <w:t>Risk Monitoring</w:t>
      </w:r>
    </w:p>
    <w:p w14:paraId="2BB4DDB3" w14:textId="49C79FCE" w:rsidR="00F71546" w:rsidRPr="00DA0966" w:rsidRDefault="00F71546" w:rsidP="00DA0966">
      <w:pPr>
        <w:jc w:val="both"/>
        <w:rPr>
          <w:sz w:val="24"/>
          <w:szCs w:val="24"/>
        </w:rPr>
      </w:pPr>
      <w:r w:rsidRPr="00DA0966">
        <w:rPr>
          <w:sz w:val="24"/>
          <w:szCs w:val="24"/>
        </w:rPr>
        <w:t xml:space="preserve">The risk management process does not finish with putting any risk control procedures in place. </w:t>
      </w:r>
      <w:r w:rsidR="008960C9" w:rsidRPr="00DA0966">
        <w:rPr>
          <w:sz w:val="24"/>
          <w:szCs w:val="24"/>
        </w:rPr>
        <w:t>Their</w:t>
      </w:r>
      <w:r w:rsidRPr="00DA0966">
        <w:rPr>
          <w:sz w:val="24"/>
          <w:szCs w:val="24"/>
        </w:rPr>
        <w:t xml:space="preserve"> effectiveness in controlling risk must be monitored and reviewed. It is also important to assess whether the nature of any risk has changed over time.</w:t>
      </w:r>
    </w:p>
    <w:p w14:paraId="54A9D951" w14:textId="77777777" w:rsidR="00F71546" w:rsidRPr="00DA0966" w:rsidRDefault="00F71546" w:rsidP="00DA0966">
      <w:pPr>
        <w:jc w:val="both"/>
        <w:rPr>
          <w:sz w:val="24"/>
          <w:szCs w:val="24"/>
        </w:rPr>
      </w:pPr>
      <w:r w:rsidRPr="00DA0966">
        <w:rPr>
          <w:sz w:val="24"/>
          <w:szCs w:val="24"/>
        </w:rPr>
        <w:t>The information generated from applying the risk management process will help to ensure that risks can be avoided or minimised in the future. It will also inform judgements on the nature and extent of insurance cover and the balance to be reached between self-insurance and external protection.</w:t>
      </w:r>
    </w:p>
    <w:p w14:paraId="1302E899" w14:textId="77777777" w:rsidR="00F71546" w:rsidRPr="008960C9" w:rsidRDefault="00F71546" w:rsidP="00DA0966">
      <w:pPr>
        <w:jc w:val="both"/>
        <w:rPr>
          <w:b/>
          <w:bCs/>
          <w:sz w:val="28"/>
          <w:szCs w:val="28"/>
        </w:rPr>
      </w:pPr>
      <w:r w:rsidRPr="008960C9">
        <w:rPr>
          <w:b/>
          <w:bCs/>
          <w:sz w:val="28"/>
          <w:szCs w:val="28"/>
        </w:rPr>
        <w:t>1. Risk Management System</w:t>
      </w:r>
    </w:p>
    <w:p w14:paraId="71A1E5D5" w14:textId="77777777" w:rsidR="00F71546" w:rsidRPr="00DA0966" w:rsidRDefault="00F71546" w:rsidP="00DA0966">
      <w:pPr>
        <w:jc w:val="both"/>
        <w:rPr>
          <w:sz w:val="24"/>
          <w:szCs w:val="24"/>
        </w:rPr>
      </w:pPr>
      <w:r w:rsidRPr="00DA0966">
        <w:rPr>
          <w:sz w:val="24"/>
          <w:szCs w:val="24"/>
        </w:rPr>
        <w:lastRenderedPageBreak/>
        <w:t xml:space="preserve">a) </w:t>
      </w:r>
      <w:r w:rsidRPr="008960C9">
        <w:rPr>
          <w:b/>
          <w:bCs/>
          <w:sz w:val="24"/>
          <w:szCs w:val="24"/>
        </w:rPr>
        <w:t>Risk identification</w:t>
      </w:r>
      <w:r w:rsidRPr="00DA0966">
        <w:rPr>
          <w:sz w:val="24"/>
          <w:szCs w:val="24"/>
        </w:rPr>
        <w:t xml:space="preserve"> – Identifying and understanding the hazards and risks facing the Council is crucial if informed decisions are to be made about policies or service delivery methods. The risk associated can then be effectively managed. Risks are identified in the Annual Risk Assessments.</w:t>
      </w:r>
    </w:p>
    <w:p w14:paraId="6AFB1BAE" w14:textId="77777777" w:rsidR="00F71546" w:rsidRPr="00DA0966" w:rsidRDefault="00F71546" w:rsidP="00DA0966">
      <w:pPr>
        <w:jc w:val="both"/>
        <w:rPr>
          <w:sz w:val="24"/>
          <w:szCs w:val="24"/>
        </w:rPr>
      </w:pPr>
      <w:r w:rsidRPr="00DA0966">
        <w:rPr>
          <w:sz w:val="24"/>
          <w:szCs w:val="24"/>
        </w:rPr>
        <w:t xml:space="preserve">b) </w:t>
      </w:r>
      <w:r w:rsidRPr="008960C9">
        <w:rPr>
          <w:b/>
          <w:bCs/>
          <w:sz w:val="28"/>
          <w:szCs w:val="28"/>
        </w:rPr>
        <w:t>Risk Analysis</w:t>
      </w:r>
      <w:r w:rsidRPr="00DA0966">
        <w:rPr>
          <w:sz w:val="24"/>
          <w:szCs w:val="24"/>
        </w:rPr>
        <w:t xml:space="preserve"> – Once risks have been identified they need to by systematically assessed. Analysis should make full use of any available data on the potential frequency of events and their consequences. If a risk is seen to be unacceptable, then steps need to be taken to control or respond to the risk.</w:t>
      </w:r>
    </w:p>
    <w:p w14:paraId="3E61D36E" w14:textId="77777777" w:rsidR="00F71546" w:rsidRPr="00DA0966" w:rsidRDefault="00F71546" w:rsidP="00DA0966">
      <w:pPr>
        <w:jc w:val="both"/>
        <w:rPr>
          <w:sz w:val="24"/>
          <w:szCs w:val="24"/>
        </w:rPr>
      </w:pPr>
      <w:r w:rsidRPr="00DA0966">
        <w:rPr>
          <w:sz w:val="24"/>
          <w:szCs w:val="24"/>
        </w:rPr>
        <w:t xml:space="preserve">c) </w:t>
      </w:r>
      <w:r w:rsidRPr="008960C9">
        <w:rPr>
          <w:b/>
          <w:bCs/>
          <w:sz w:val="24"/>
          <w:szCs w:val="24"/>
        </w:rPr>
        <w:t>Risk Prioritisation</w:t>
      </w:r>
      <w:r w:rsidRPr="00DA0966">
        <w:rPr>
          <w:sz w:val="24"/>
          <w:szCs w:val="24"/>
        </w:rPr>
        <w:t xml:space="preserve"> - An assessment should be undertaken of the impact and likelihood of risks occurring, and prioritised as low, medium or high.</w:t>
      </w:r>
    </w:p>
    <w:p w14:paraId="49F8E81F" w14:textId="77777777" w:rsidR="00F71546" w:rsidRPr="008960C9" w:rsidRDefault="00F71546" w:rsidP="00DA0966">
      <w:pPr>
        <w:jc w:val="both"/>
        <w:rPr>
          <w:b/>
          <w:bCs/>
          <w:sz w:val="28"/>
          <w:szCs w:val="28"/>
        </w:rPr>
      </w:pPr>
      <w:r w:rsidRPr="008960C9">
        <w:rPr>
          <w:b/>
          <w:bCs/>
          <w:sz w:val="28"/>
          <w:szCs w:val="28"/>
        </w:rPr>
        <w:t>Roles and Responsibilities</w:t>
      </w:r>
    </w:p>
    <w:p w14:paraId="6CEDB9D6" w14:textId="77777777" w:rsidR="00F71546" w:rsidRPr="00DA0966" w:rsidRDefault="00F71546" w:rsidP="00DA0966">
      <w:pPr>
        <w:jc w:val="both"/>
        <w:rPr>
          <w:sz w:val="24"/>
          <w:szCs w:val="24"/>
        </w:rPr>
      </w:pPr>
      <w:r w:rsidRPr="00DA0966">
        <w:rPr>
          <w:sz w:val="24"/>
          <w:szCs w:val="24"/>
        </w:rPr>
        <w:t>It is important that risk management becomes embedded into the everyday culture and performance management process of the Council. The roles and responsibilities set out below are designed to ensure that risk is managed effectively.</w:t>
      </w:r>
    </w:p>
    <w:p w14:paraId="76FF3901" w14:textId="77777777" w:rsidR="00F71546" w:rsidRPr="00DA0966" w:rsidRDefault="00F71546" w:rsidP="00DA0966">
      <w:pPr>
        <w:jc w:val="both"/>
        <w:rPr>
          <w:sz w:val="24"/>
          <w:szCs w:val="24"/>
        </w:rPr>
      </w:pPr>
      <w:r w:rsidRPr="00DA0966">
        <w:rPr>
          <w:sz w:val="24"/>
          <w:szCs w:val="24"/>
        </w:rPr>
        <w:t xml:space="preserve">a) </w:t>
      </w:r>
      <w:r w:rsidRPr="008960C9">
        <w:rPr>
          <w:b/>
          <w:bCs/>
          <w:sz w:val="24"/>
          <w:szCs w:val="24"/>
        </w:rPr>
        <w:t>Councillors</w:t>
      </w:r>
      <w:r w:rsidRPr="00DA0966">
        <w:rPr>
          <w:sz w:val="24"/>
          <w:szCs w:val="24"/>
        </w:rPr>
        <w:t xml:space="preserve"> – risk management is a key part of the Councillors’ stewardship role and there is an expectation that Councillors will lead and monitor the approach adopted.</w:t>
      </w:r>
    </w:p>
    <w:p w14:paraId="383ADBB7" w14:textId="77777777" w:rsidR="00F71546" w:rsidRPr="00DA0966" w:rsidRDefault="00F71546" w:rsidP="00DA0966">
      <w:pPr>
        <w:jc w:val="both"/>
        <w:rPr>
          <w:sz w:val="24"/>
          <w:szCs w:val="24"/>
        </w:rPr>
      </w:pPr>
      <w:r w:rsidRPr="00DA0966">
        <w:rPr>
          <w:sz w:val="24"/>
          <w:szCs w:val="24"/>
        </w:rPr>
        <w:t>· Approval of the Risk Management Strategy</w:t>
      </w:r>
    </w:p>
    <w:p w14:paraId="450BDB2A" w14:textId="77777777" w:rsidR="00F71546" w:rsidRPr="00DA0966" w:rsidRDefault="00F71546" w:rsidP="00DA0966">
      <w:pPr>
        <w:jc w:val="both"/>
        <w:rPr>
          <w:sz w:val="24"/>
          <w:szCs w:val="24"/>
        </w:rPr>
      </w:pPr>
      <w:r w:rsidRPr="00DA0966">
        <w:rPr>
          <w:sz w:val="24"/>
          <w:szCs w:val="24"/>
        </w:rPr>
        <w:t>· Analysis of key risks in reports on projects, ensuring that all future projects and services undertaken are adequately risk managed</w:t>
      </w:r>
    </w:p>
    <w:p w14:paraId="72E3B25F" w14:textId="77777777" w:rsidR="00F71546" w:rsidRPr="00DA0966" w:rsidRDefault="00F71546" w:rsidP="00DA0966">
      <w:pPr>
        <w:jc w:val="both"/>
        <w:rPr>
          <w:sz w:val="24"/>
          <w:szCs w:val="24"/>
        </w:rPr>
      </w:pPr>
      <w:r w:rsidRPr="00DA0966">
        <w:rPr>
          <w:sz w:val="24"/>
          <w:szCs w:val="24"/>
        </w:rPr>
        <w:t>· Consideration, and if appropriate, endorsement of the Financial Risk Assessment which includes the internal controls of the Council</w:t>
      </w:r>
    </w:p>
    <w:p w14:paraId="243ED7BB" w14:textId="77777777" w:rsidR="00F71546" w:rsidRPr="00DA0966" w:rsidRDefault="00F71546" w:rsidP="00DA0966">
      <w:pPr>
        <w:jc w:val="both"/>
        <w:rPr>
          <w:sz w:val="24"/>
          <w:szCs w:val="24"/>
        </w:rPr>
      </w:pPr>
      <w:r w:rsidRPr="00DA0966">
        <w:rPr>
          <w:sz w:val="24"/>
          <w:szCs w:val="24"/>
        </w:rPr>
        <w:t>· Assessment of risk whilst setting the precept, including any bids for resources to tackle specific issues</w:t>
      </w:r>
    </w:p>
    <w:p w14:paraId="19E6E618" w14:textId="77777777" w:rsidR="00F71546" w:rsidRPr="00DA0966" w:rsidRDefault="00F71546" w:rsidP="00DA0966">
      <w:pPr>
        <w:jc w:val="both"/>
        <w:rPr>
          <w:sz w:val="24"/>
          <w:szCs w:val="24"/>
        </w:rPr>
      </w:pPr>
      <w:r w:rsidRPr="00DA0966">
        <w:rPr>
          <w:sz w:val="24"/>
          <w:szCs w:val="24"/>
        </w:rPr>
        <w:t xml:space="preserve">b) </w:t>
      </w:r>
      <w:r w:rsidRPr="008960C9">
        <w:rPr>
          <w:b/>
          <w:bCs/>
          <w:sz w:val="24"/>
          <w:szCs w:val="24"/>
        </w:rPr>
        <w:t>Parish Clerk</w:t>
      </w:r>
      <w:r w:rsidRPr="00DA0966">
        <w:rPr>
          <w:sz w:val="24"/>
          <w:szCs w:val="24"/>
        </w:rPr>
        <w:t xml:space="preserve"> - will be responsible for overseeing the implementation of the detail of the Risk Management Strategy.</w:t>
      </w:r>
    </w:p>
    <w:p w14:paraId="4A15F34C" w14:textId="77777777" w:rsidR="00F71546" w:rsidRPr="00DA0966" w:rsidRDefault="00F71546" w:rsidP="00DA0966">
      <w:pPr>
        <w:jc w:val="both"/>
        <w:rPr>
          <w:sz w:val="24"/>
          <w:szCs w:val="24"/>
        </w:rPr>
      </w:pPr>
      <w:r w:rsidRPr="00DA0966">
        <w:rPr>
          <w:sz w:val="24"/>
          <w:szCs w:val="24"/>
        </w:rPr>
        <w:t>· Provide advice as to the legality of the policy and service delivery choices</w:t>
      </w:r>
    </w:p>
    <w:p w14:paraId="47237683" w14:textId="77777777" w:rsidR="00F71546" w:rsidRPr="00DA0966" w:rsidRDefault="00F71546" w:rsidP="00DA0966">
      <w:pPr>
        <w:jc w:val="both"/>
        <w:rPr>
          <w:sz w:val="24"/>
          <w:szCs w:val="24"/>
        </w:rPr>
      </w:pPr>
      <w:r w:rsidRPr="00DA0966">
        <w:rPr>
          <w:sz w:val="24"/>
          <w:szCs w:val="24"/>
        </w:rPr>
        <w:t>· Update the Council on the implications of new or revised legislation</w:t>
      </w:r>
    </w:p>
    <w:p w14:paraId="36865981" w14:textId="77777777" w:rsidR="00F71546" w:rsidRPr="00DA0966" w:rsidRDefault="00F71546" w:rsidP="00DA0966">
      <w:pPr>
        <w:jc w:val="both"/>
        <w:rPr>
          <w:sz w:val="24"/>
          <w:szCs w:val="24"/>
        </w:rPr>
      </w:pPr>
      <w:r w:rsidRPr="00DA0966">
        <w:rPr>
          <w:sz w:val="24"/>
          <w:szCs w:val="24"/>
        </w:rPr>
        <w:t>· Assist in handling any litigation claims</w:t>
      </w:r>
    </w:p>
    <w:p w14:paraId="5B248281" w14:textId="77777777" w:rsidR="00F71546" w:rsidRPr="00DA0966" w:rsidRDefault="00F71546" w:rsidP="00DA0966">
      <w:pPr>
        <w:jc w:val="both"/>
        <w:rPr>
          <w:sz w:val="24"/>
          <w:szCs w:val="24"/>
        </w:rPr>
      </w:pPr>
      <w:r w:rsidRPr="00DA0966">
        <w:rPr>
          <w:sz w:val="24"/>
          <w:szCs w:val="24"/>
        </w:rPr>
        <w:lastRenderedPageBreak/>
        <w:t>· Advise on any health and safety implications of the chosen or proposed arrangements for service delivery</w:t>
      </w:r>
    </w:p>
    <w:p w14:paraId="22AF6422" w14:textId="77777777" w:rsidR="00F71546" w:rsidRPr="00DA0966" w:rsidRDefault="00F71546" w:rsidP="00DA0966">
      <w:pPr>
        <w:jc w:val="both"/>
        <w:rPr>
          <w:sz w:val="24"/>
          <w:szCs w:val="24"/>
        </w:rPr>
      </w:pPr>
      <w:r w:rsidRPr="00DA0966">
        <w:rPr>
          <w:sz w:val="24"/>
          <w:szCs w:val="24"/>
        </w:rPr>
        <w:t xml:space="preserve">c) </w:t>
      </w:r>
      <w:r w:rsidRPr="008960C9">
        <w:rPr>
          <w:b/>
          <w:bCs/>
          <w:sz w:val="24"/>
          <w:szCs w:val="24"/>
        </w:rPr>
        <w:t>Responsible Finance Officer</w:t>
      </w:r>
      <w:r w:rsidRPr="00DA0966">
        <w:rPr>
          <w:sz w:val="24"/>
          <w:szCs w:val="24"/>
        </w:rPr>
        <w:t xml:space="preserve"> - as RFO the Parish Clerk will also</w:t>
      </w:r>
    </w:p>
    <w:p w14:paraId="3DA13AF4" w14:textId="77777777" w:rsidR="00F71546" w:rsidRPr="00DA0966" w:rsidRDefault="00F71546" w:rsidP="00DA0966">
      <w:pPr>
        <w:jc w:val="both"/>
        <w:rPr>
          <w:sz w:val="24"/>
          <w:szCs w:val="24"/>
        </w:rPr>
      </w:pPr>
      <w:r w:rsidRPr="00DA0966">
        <w:rPr>
          <w:sz w:val="24"/>
          <w:szCs w:val="24"/>
        </w:rPr>
        <w:t>· Assess and implement the Council’s insurance requirements</w:t>
      </w:r>
    </w:p>
    <w:p w14:paraId="6D5F6ADE" w14:textId="77777777" w:rsidR="00F71546" w:rsidRPr="00DA0966" w:rsidRDefault="00F71546" w:rsidP="00DA0966">
      <w:pPr>
        <w:jc w:val="both"/>
        <w:rPr>
          <w:sz w:val="24"/>
          <w:szCs w:val="24"/>
        </w:rPr>
      </w:pPr>
      <w:r w:rsidRPr="00DA0966">
        <w:rPr>
          <w:sz w:val="24"/>
          <w:szCs w:val="24"/>
        </w:rPr>
        <w:t>· Assess the financial implications of the strategic policy options</w:t>
      </w:r>
    </w:p>
    <w:p w14:paraId="0093CAC0" w14:textId="77777777" w:rsidR="00F71546" w:rsidRPr="00DA0966" w:rsidRDefault="00F71546" w:rsidP="00DA0966">
      <w:pPr>
        <w:jc w:val="both"/>
        <w:rPr>
          <w:sz w:val="24"/>
          <w:szCs w:val="24"/>
        </w:rPr>
      </w:pPr>
      <w:r w:rsidRPr="00DA0966">
        <w:rPr>
          <w:sz w:val="24"/>
          <w:szCs w:val="24"/>
        </w:rPr>
        <w:t xml:space="preserve">· </w:t>
      </w:r>
      <w:proofErr w:type="gramStart"/>
      <w:r w:rsidRPr="00DA0966">
        <w:rPr>
          <w:sz w:val="24"/>
          <w:szCs w:val="24"/>
        </w:rPr>
        <w:t>Provide assistance</w:t>
      </w:r>
      <w:proofErr w:type="gramEnd"/>
      <w:r w:rsidRPr="00DA0966">
        <w:rPr>
          <w:sz w:val="24"/>
          <w:szCs w:val="24"/>
        </w:rPr>
        <w:t xml:space="preserve"> and advice on budgetary planning and control</w:t>
      </w:r>
    </w:p>
    <w:p w14:paraId="40D5E438" w14:textId="77777777" w:rsidR="00F71546" w:rsidRPr="00DA0966" w:rsidRDefault="00F71546" w:rsidP="00DA0966">
      <w:pPr>
        <w:jc w:val="both"/>
        <w:rPr>
          <w:sz w:val="24"/>
          <w:szCs w:val="24"/>
        </w:rPr>
      </w:pPr>
      <w:r w:rsidRPr="00DA0966">
        <w:rPr>
          <w:sz w:val="24"/>
          <w:szCs w:val="24"/>
        </w:rPr>
        <w:t xml:space="preserve">d) </w:t>
      </w:r>
      <w:r w:rsidRPr="00DA530E">
        <w:rPr>
          <w:b/>
          <w:bCs/>
          <w:sz w:val="24"/>
          <w:szCs w:val="24"/>
        </w:rPr>
        <w:t>Role of Internal Audit</w:t>
      </w:r>
      <w:r w:rsidRPr="00DA0966">
        <w:rPr>
          <w:sz w:val="24"/>
          <w:szCs w:val="24"/>
        </w:rPr>
        <w:t xml:space="preserve"> – internal audit provides an important scrutiny role by carrying out audits to provide independent assurance that the necessary risk management systems are in place and all significant business risks are being managed effectively. Internal audit assists the Council in identifying both its financial and operational risks and seeks to assist the Council in developing and implementing proper arrangements to manage them, including adequate and effective systems of internal control to reduce or eliminate the likelihood of errors or fraud. Feedback from Internal and External Audit can identify areas for improvement.</w:t>
      </w:r>
    </w:p>
    <w:p w14:paraId="68A10239" w14:textId="77777777" w:rsidR="00F71546" w:rsidRPr="00DA0966" w:rsidRDefault="00F71546" w:rsidP="00DA0966">
      <w:pPr>
        <w:jc w:val="both"/>
        <w:rPr>
          <w:sz w:val="24"/>
          <w:szCs w:val="24"/>
        </w:rPr>
      </w:pPr>
      <w:r w:rsidRPr="00DA0966">
        <w:rPr>
          <w:sz w:val="24"/>
          <w:szCs w:val="24"/>
        </w:rPr>
        <w:t>A review of this policy shall be undertaken bi-annually (or as appropriate) and necessary amendments will be undertaken by the Clerk and reported to the full Council for approval.</w:t>
      </w:r>
    </w:p>
    <w:p w14:paraId="03DF2DC3" w14:textId="77777777" w:rsidR="00F71546" w:rsidRDefault="00F71546" w:rsidP="00DA0966">
      <w:pPr>
        <w:jc w:val="both"/>
        <w:rPr>
          <w:sz w:val="24"/>
          <w:szCs w:val="24"/>
        </w:rPr>
      </w:pPr>
      <w:r w:rsidRPr="00DA0966">
        <w:rPr>
          <w:sz w:val="24"/>
          <w:szCs w:val="24"/>
        </w:rPr>
        <w:t>The Council will undertake to ensure that its members and employees are trained in the processes required by this policy as deemed appropriate.</w:t>
      </w:r>
    </w:p>
    <w:p w14:paraId="6DF2497E" w14:textId="03F240AF" w:rsidR="0003605F" w:rsidRDefault="0003605F" w:rsidP="00DA0966">
      <w:pPr>
        <w:jc w:val="both"/>
        <w:rPr>
          <w:sz w:val="24"/>
          <w:szCs w:val="24"/>
        </w:rPr>
      </w:pPr>
      <w:r>
        <w:rPr>
          <w:sz w:val="24"/>
          <w:szCs w:val="24"/>
        </w:rPr>
        <w:t>An example of a Risk Assessment can be found at Appendix A</w:t>
      </w:r>
    </w:p>
    <w:p w14:paraId="713144C3" w14:textId="77777777" w:rsidR="0003605F" w:rsidRDefault="0003605F" w:rsidP="00DA0966">
      <w:pPr>
        <w:jc w:val="both"/>
        <w:rPr>
          <w:sz w:val="24"/>
          <w:szCs w:val="24"/>
        </w:rPr>
      </w:pPr>
    </w:p>
    <w:p w14:paraId="244C28F5" w14:textId="77777777" w:rsidR="002C4319" w:rsidRDefault="002C4319" w:rsidP="00DA0966">
      <w:pPr>
        <w:jc w:val="both"/>
        <w:rPr>
          <w:sz w:val="24"/>
          <w:szCs w:val="24"/>
        </w:rPr>
      </w:pPr>
    </w:p>
    <w:p w14:paraId="6630072D" w14:textId="77777777" w:rsidR="002C4319" w:rsidRDefault="002C4319" w:rsidP="00DA0966">
      <w:pPr>
        <w:jc w:val="both"/>
        <w:rPr>
          <w:sz w:val="24"/>
          <w:szCs w:val="24"/>
        </w:rPr>
      </w:pPr>
    </w:p>
    <w:p w14:paraId="480F4728" w14:textId="77777777" w:rsidR="002C4319" w:rsidRDefault="002C4319" w:rsidP="00DA0966">
      <w:pPr>
        <w:jc w:val="both"/>
        <w:rPr>
          <w:sz w:val="24"/>
          <w:szCs w:val="24"/>
        </w:rPr>
      </w:pPr>
    </w:p>
    <w:p w14:paraId="0F7EDB6E" w14:textId="77777777" w:rsidR="002C4319" w:rsidRDefault="002C4319" w:rsidP="00DA0966">
      <w:pPr>
        <w:jc w:val="both"/>
        <w:rPr>
          <w:sz w:val="24"/>
          <w:szCs w:val="24"/>
        </w:rPr>
      </w:pPr>
    </w:p>
    <w:p w14:paraId="03A6C195" w14:textId="77777777" w:rsidR="002C4319" w:rsidRDefault="002C4319" w:rsidP="00DA0966">
      <w:pPr>
        <w:jc w:val="both"/>
        <w:rPr>
          <w:sz w:val="24"/>
          <w:szCs w:val="24"/>
        </w:rPr>
      </w:pPr>
    </w:p>
    <w:p w14:paraId="3964493E" w14:textId="09BE47AC" w:rsidR="0003605F" w:rsidRDefault="0003605F" w:rsidP="0003605F">
      <w:pPr>
        <w:jc w:val="center"/>
        <w:rPr>
          <w:sz w:val="36"/>
          <w:szCs w:val="36"/>
        </w:rPr>
      </w:pPr>
      <w:r>
        <w:rPr>
          <w:b/>
          <w:bCs/>
          <w:sz w:val="36"/>
          <w:szCs w:val="36"/>
        </w:rPr>
        <w:lastRenderedPageBreak/>
        <w:t>Appendix A</w:t>
      </w:r>
    </w:p>
    <w:p w14:paraId="467F93B9" w14:textId="55046D58" w:rsidR="0003605F" w:rsidRPr="00995BC8" w:rsidRDefault="00995BC8" w:rsidP="0003605F">
      <w:pPr>
        <w:jc w:val="center"/>
        <w:rPr>
          <w:b/>
          <w:bCs/>
          <w:sz w:val="28"/>
          <w:szCs w:val="28"/>
        </w:rPr>
      </w:pPr>
      <w:r w:rsidRPr="00995BC8">
        <w:rPr>
          <w:b/>
          <w:bCs/>
          <w:sz w:val="28"/>
          <w:szCs w:val="28"/>
        </w:rPr>
        <w:t>Risk Assessment</w:t>
      </w:r>
    </w:p>
    <w:tbl>
      <w:tblPr>
        <w:tblW w:w="15309" w:type="dxa"/>
        <w:tblInd w:w="-572" w:type="dxa"/>
        <w:tblLayout w:type="fixed"/>
        <w:tblLook w:val="04A0" w:firstRow="1" w:lastRow="0" w:firstColumn="1" w:lastColumn="0" w:noHBand="0" w:noVBand="1"/>
      </w:tblPr>
      <w:tblGrid>
        <w:gridCol w:w="1561"/>
        <w:gridCol w:w="2256"/>
        <w:gridCol w:w="11"/>
        <w:gridCol w:w="2074"/>
        <w:gridCol w:w="1328"/>
        <w:gridCol w:w="1275"/>
        <w:gridCol w:w="1134"/>
        <w:gridCol w:w="2835"/>
        <w:gridCol w:w="2835"/>
      </w:tblGrid>
      <w:tr w:rsidR="002C4319" w:rsidRPr="00A400EA" w14:paraId="61361F99" w14:textId="77777777" w:rsidTr="00EF27C1">
        <w:trPr>
          <w:trHeight w:val="300"/>
        </w:trPr>
        <w:tc>
          <w:tcPr>
            <w:tcW w:w="1560" w:type="dxa"/>
            <w:tcBorders>
              <w:top w:val="single" w:sz="4" w:space="0" w:color="auto"/>
              <w:left w:val="single" w:sz="4" w:space="0" w:color="auto"/>
              <w:bottom w:val="single" w:sz="4" w:space="0" w:color="000000"/>
              <w:right w:val="single" w:sz="4" w:space="0" w:color="auto"/>
            </w:tcBorders>
            <w:shd w:val="clear" w:color="000000" w:fill="CFDCE3"/>
            <w:vAlign w:val="center"/>
            <w:hideMark/>
          </w:tcPr>
          <w:p w14:paraId="5A5C8865" w14:textId="77777777" w:rsidR="002C4319" w:rsidRPr="00A400EA" w:rsidRDefault="002C4319" w:rsidP="00EF27C1">
            <w:pPr>
              <w:spacing w:after="0" w:line="240" w:lineRule="auto"/>
              <w:rPr>
                <w:rFonts w:cs="Arial"/>
                <w:b/>
                <w:bCs/>
                <w:color w:val="000000"/>
              </w:rPr>
            </w:pPr>
            <w:r w:rsidRPr="00A400EA">
              <w:rPr>
                <w:rFonts w:cs="Arial"/>
                <w:b/>
                <w:bCs/>
                <w:color w:val="000000"/>
              </w:rPr>
              <w:t>Facility / Activity</w:t>
            </w:r>
          </w:p>
        </w:tc>
        <w:tc>
          <w:tcPr>
            <w:tcW w:w="2268" w:type="dxa"/>
            <w:gridSpan w:val="2"/>
            <w:tcBorders>
              <w:top w:val="single" w:sz="4" w:space="0" w:color="auto"/>
              <w:left w:val="single" w:sz="4" w:space="0" w:color="auto"/>
              <w:bottom w:val="single" w:sz="4" w:space="0" w:color="000000"/>
              <w:right w:val="single" w:sz="4" w:space="0" w:color="auto"/>
            </w:tcBorders>
            <w:shd w:val="clear" w:color="000000" w:fill="CFDCE3"/>
            <w:vAlign w:val="center"/>
          </w:tcPr>
          <w:p w14:paraId="2AE97E9B" w14:textId="77777777" w:rsidR="002C4319" w:rsidRPr="00A400EA" w:rsidRDefault="002C4319" w:rsidP="00EF27C1">
            <w:pPr>
              <w:spacing w:after="0" w:line="240" w:lineRule="auto"/>
              <w:rPr>
                <w:rFonts w:cs="Arial"/>
                <w:b/>
                <w:bCs/>
                <w:color w:val="000000"/>
              </w:rPr>
            </w:pPr>
            <w:r w:rsidRPr="00A400EA">
              <w:rPr>
                <w:rFonts w:cs="Arial"/>
                <w:b/>
                <w:bCs/>
                <w:color w:val="000000"/>
              </w:rPr>
              <w:t>Identify the hazards</w:t>
            </w:r>
          </w:p>
        </w:tc>
        <w:tc>
          <w:tcPr>
            <w:tcW w:w="2074" w:type="dxa"/>
            <w:tcBorders>
              <w:top w:val="single" w:sz="4" w:space="0" w:color="auto"/>
              <w:left w:val="single" w:sz="4" w:space="0" w:color="auto"/>
              <w:bottom w:val="single" w:sz="4" w:space="0" w:color="000000"/>
              <w:right w:val="single" w:sz="4" w:space="0" w:color="auto"/>
            </w:tcBorders>
            <w:shd w:val="clear" w:color="000000" w:fill="CFDCE3"/>
            <w:vAlign w:val="center"/>
          </w:tcPr>
          <w:p w14:paraId="5AAADA12" w14:textId="77777777" w:rsidR="002C4319" w:rsidRPr="00A400EA" w:rsidRDefault="002C4319" w:rsidP="00EF27C1">
            <w:pPr>
              <w:spacing w:after="0" w:line="240" w:lineRule="auto"/>
              <w:rPr>
                <w:rFonts w:cs="Arial"/>
                <w:b/>
                <w:bCs/>
                <w:color w:val="000000"/>
              </w:rPr>
            </w:pPr>
            <w:r w:rsidRPr="00A400EA">
              <w:rPr>
                <w:rFonts w:cs="Arial"/>
                <w:b/>
                <w:bCs/>
                <w:color w:val="000000"/>
              </w:rPr>
              <w:t>Who/what may be harmed</w:t>
            </w:r>
          </w:p>
        </w:tc>
        <w:tc>
          <w:tcPr>
            <w:tcW w:w="1328" w:type="dxa"/>
            <w:tcBorders>
              <w:top w:val="single" w:sz="4" w:space="0" w:color="auto"/>
              <w:left w:val="nil"/>
              <w:bottom w:val="single" w:sz="4" w:space="0" w:color="auto"/>
              <w:right w:val="single" w:sz="4" w:space="0" w:color="auto"/>
            </w:tcBorders>
            <w:shd w:val="clear" w:color="000000" w:fill="CFDCE3"/>
            <w:noWrap/>
            <w:vAlign w:val="center"/>
            <w:hideMark/>
          </w:tcPr>
          <w:p w14:paraId="677CD59B" w14:textId="77777777" w:rsidR="002C4319" w:rsidRPr="00A400EA" w:rsidRDefault="002C4319" w:rsidP="00EF27C1">
            <w:pPr>
              <w:spacing w:after="0" w:line="240" w:lineRule="auto"/>
              <w:jc w:val="center"/>
              <w:rPr>
                <w:rFonts w:cs="Arial"/>
                <w:b/>
                <w:bCs/>
                <w:color w:val="000000"/>
              </w:rPr>
            </w:pPr>
            <w:r>
              <w:rPr>
                <w:rFonts w:cs="Arial"/>
                <w:b/>
                <w:bCs/>
                <w:color w:val="000000"/>
              </w:rPr>
              <w:t>Risk l</w:t>
            </w:r>
            <w:r w:rsidRPr="00A400EA">
              <w:rPr>
                <w:rFonts w:cs="Arial"/>
                <w:b/>
                <w:bCs/>
                <w:color w:val="000000"/>
              </w:rPr>
              <w:t>ikelihood</w:t>
            </w:r>
          </w:p>
        </w:tc>
        <w:tc>
          <w:tcPr>
            <w:tcW w:w="1275" w:type="dxa"/>
            <w:tcBorders>
              <w:top w:val="single" w:sz="4" w:space="0" w:color="auto"/>
              <w:left w:val="nil"/>
              <w:bottom w:val="single" w:sz="4" w:space="0" w:color="auto"/>
              <w:right w:val="single" w:sz="4" w:space="0" w:color="auto"/>
            </w:tcBorders>
            <w:shd w:val="clear" w:color="000000" w:fill="CFDCE3"/>
            <w:noWrap/>
            <w:vAlign w:val="center"/>
            <w:hideMark/>
          </w:tcPr>
          <w:p w14:paraId="3B1B78D2" w14:textId="77777777" w:rsidR="002C4319" w:rsidRPr="00A400EA" w:rsidRDefault="002C4319" w:rsidP="00EF27C1">
            <w:pPr>
              <w:spacing w:after="0" w:line="240" w:lineRule="auto"/>
              <w:jc w:val="center"/>
              <w:rPr>
                <w:rFonts w:cs="Arial"/>
                <w:b/>
                <w:bCs/>
                <w:color w:val="000000"/>
              </w:rPr>
            </w:pPr>
            <w:r w:rsidRPr="00A400EA">
              <w:rPr>
                <w:rFonts w:cs="Arial"/>
                <w:b/>
                <w:bCs/>
                <w:color w:val="000000"/>
              </w:rPr>
              <w:t>Severity of harm</w:t>
            </w:r>
          </w:p>
        </w:tc>
        <w:tc>
          <w:tcPr>
            <w:tcW w:w="1134" w:type="dxa"/>
            <w:tcBorders>
              <w:top w:val="single" w:sz="4" w:space="0" w:color="auto"/>
              <w:left w:val="nil"/>
              <w:bottom w:val="single" w:sz="4" w:space="0" w:color="auto"/>
              <w:right w:val="single" w:sz="4" w:space="0" w:color="auto"/>
            </w:tcBorders>
            <w:shd w:val="clear" w:color="000000" w:fill="CFDCE3"/>
            <w:noWrap/>
            <w:vAlign w:val="center"/>
            <w:hideMark/>
          </w:tcPr>
          <w:p w14:paraId="27F6DE24" w14:textId="77777777" w:rsidR="002C4319" w:rsidRPr="00A400EA" w:rsidRDefault="002C4319" w:rsidP="00EF27C1">
            <w:pPr>
              <w:spacing w:after="0" w:line="240" w:lineRule="auto"/>
              <w:jc w:val="center"/>
              <w:rPr>
                <w:rFonts w:cs="Arial"/>
                <w:b/>
                <w:bCs/>
                <w:color w:val="000000"/>
              </w:rPr>
            </w:pPr>
            <w:r w:rsidRPr="00A400EA">
              <w:rPr>
                <w:rFonts w:cs="Arial"/>
                <w:b/>
                <w:bCs/>
                <w:color w:val="000000"/>
              </w:rPr>
              <w:t>Overall risk</w:t>
            </w:r>
          </w:p>
        </w:tc>
        <w:tc>
          <w:tcPr>
            <w:tcW w:w="2835" w:type="dxa"/>
            <w:tcBorders>
              <w:top w:val="single" w:sz="4" w:space="0" w:color="auto"/>
              <w:left w:val="single" w:sz="4" w:space="0" w:color="auto"/>
              <w:bottom w:val="single" w:sz="4" w:space="0" w:color="000000"/>
              <w:right w:val="single" w:sz="4" w:space="0" w:color="auto"/>
            </w:tcBorders>
            <w:shd w:val="clear" w:color="000000" w:fill="CFDCE3"/>
            <w:vAlign w:val="center"/>
            <w:hideMark/>
          </w:tcPr>
          <w:p w14:paraId="44B4DA5A" w14:textId="77777777" w:rsidR="002C4319" w:rsidRPr="00A400EA" w:rsidRDefault="002C4319" w:rsidP="00EF27C1">
            <w:pPr>
              <w:spacing w:after="0" w:line="240" w:lineRule="auto"/>
              <w:jc w:val="center"/>
              <w:rPr>
                <w:rFonts w:cs="Arial"/>
                <w:b/>
                <w:bCs/>
                <w:color w:val="000000"/>
              </w:rPr>
            </w:pPr>
            <w:r w:rsidRPr="00A400EA">
              <w:rPr>
                <w:rFonts w:cs="Arial"/>
                <w:b/>
                <w:bCs/>
                <w:color w:val="000000"/>
              </w:rPr>
              <w:t>Existing control measures</w:t>
            </w:r>
          </w:p>
          <w:p w14:paraId="69298F47" w14:textId="77777777" w:rsidR="002C4319" w:rsidRPr="00A400EA" w:rsidRDefault="002C4319" w:rsidP="00EF27C1">
            <w:pPr>
              <w:spacing w:after="0" w:line="240" w:lineRule="auto"/>
              <w:rPr>
                <w:rFonts w:cs="Arial"/>
                <w:b/>
                <w:bCs/>
                <w:color w:val="000000"/>
              </w:rPr>
            </w:pPr>
          </w:p>
        </w:tc>
        <w:tc>
          <w:tcPr>
            <w:tcW w:w="2835" w:type="dxa"/>
            <w:tcBorders>
              <w:top w:val="single" w:sz="4" w:space="0" w:color="auto"/>
              <w:left w:val="single" w:sz="4" w:space="0" w:color="auto"/>
              <w:bottom w:val="single" w:sz="4" w:space="0" w:color="000000"/>
              <w:right w:val="single" w:sz="4" w:space="0" w:color="auto"/>
            </w:tcBorders>
            <w:shd w:val="clear" w:color="000000" w:fill="CFDCE3"/>
            <w:vAlign w:val="center"/>
          </w:tcPr>
          <w:p w14:paraId="7A6A75CC" w14:textId="77777777" w:rsidR="002C4319" w:rsidRPr="00A400EA" w:rsidRDefault="002C4319" w:rsidP="00EF27C1">
            <w:pPr>
              <w:spacing w:after="0" w:line="240" w:lineRule="auto"/>
              <w:rPr>
                <w:rFonts w:cs="Arial"/>
                <w:b/>
                <w:bCs/>
                <w:color w:val="000000"/>
              </w:rPr>
            </w:pPr>
            <w:r w:rsidRPr="00A400EA">
              <w:rPr>
                <w:rFonts w:cs="Arial"/>
                <w:b/>
                <w:bCs/>
                <w:color w:val="000000"/>
              </w:rPr>
              <w:t>Recommendations/</w:t>
            </w:r>
            <w:r>
              <w:rPr>
                <w:rFonts w:cs="Arial"/>
                <w:b/>
                <w:bCs/>
                <w:color w:val="000000"/>
              </w:rPr>
              <w:t xml:space="preserve"> </w:t>
            </w:r>
            <w:r w:rsidRPr="00A400EA">
              <w:rPr>
                <w:rFonts w:cs="Arial"/>
                <w:b/>
                <w:bCs/>
                <w:color w:val="000000"/>
              </w:rPr>
              <w:t>further action required</w:t>
            </w:r>
          </w:p>
        </w:tc>
      </w:tr>
      <w:tr w:rsidR="002C4319" w:rsidRPr="00A400EA" w14:paraId="68C2A6CF" w14:textId="77777777" w:rsidTr="00EF27C1">
        <w:trPr>
          <w:trHeight w:val="300"/>
        </w:trPr>
        <w:tc>
          <w:tcPr>
            <w:tcW w:w="1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672099" w14:textId="77777777" w:rsidR="002C4319" w:rsidRPr="00A400EA" w:rsidRDefault="002C4319" w:rsidP="00EF27C1">
            <w:pPr>
              <w:spacing w:after="0" w:line="240" w:lineRule="auto"/>
              <w:jc w:val="center"/>
              <w:rPr>
                <w:rFonts w:cs="Arial"/>
                <w:color w:val="000000"/>
              </w:rPr>
            </w:pPr>
            <w:r w:rsidRPr="00A400EA">
              <w:rPr>
                <w:rFonts w:cs="Arial"/>
                <w:color w:val="000000"/>
              </w:rPr>
              <w:t> </w:t>
            </w:r>
          </w:p>
        </w:tc>
        <w:tc>
          <w:tcPr>
            <w:tcW w:w="2257" w:type="dxa"/>
            <w:tcBorders>
              <w:top w:val="nil"/>
              <w:left w:val="nil"/>
              <w:bottom w:val="single" w:sz="4" w:space="0" w:color="auto"/>
              <w:right w:val="single" w:sz="4" w:space="0" w:color="auto"/>
            </w:tcBorders>
            <w:shd w:val="clear" w:color="auto" w:fill="auto"/>
            <w:noWrap/>
            <w:vAlign w:val="bottom"/>
            <w:hideMark/>
          </w:tcPr>
          <w:p w14:paraId="335A7CA0"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316BE77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139B4B79"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7AB1DE0"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A5E7B4"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19B6A941"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0F87D352"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1671C95C"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0E8651FB"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5203CA8C"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767E37D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633060C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1FCDADA"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64B80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6EF4044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22544899"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08629AE8"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2646959B"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7CE62436"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240821B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6701DA6B"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D252784"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69DB5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69100054"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25E9760D"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654F2DA0"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49DD6303"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4D2C54CA"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38BD9609"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5C31AA24"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7858FCDE"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9D008"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0CDE6E4B"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4C39ED3D"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2C537E7E" w14:textId="77777777" w:rsidTr="00EF27C1">
        <w:trPr>
          <w:trHeight w:val="300"/>
        </w:trPr>
        <w:tc>
          <w:tcPr>
            <w:tcW w:w="1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96459E" w14:textId="77777777" w:rsidR="002C4319" w:rsidRPr="00A400EA" w:rsidRDefault="002C4319" w:rsidP="00EF27C1">
            <w:pPr>
              <w:spacing w:after="0" w:line="240" w:lineRule="auto"/>
              <w:jc w:val="center"/>
              <w:rPr>
                <w:rFonts w:cs="Arial"/>
                <w:color w:val="000000"/>
              </w:rPr>
            </w:pPr>
            <w:r w:rsidRPr="00A400EA">
              <w:rPr>
                <w:rFonts w:cs="Arial"/>
                <w:color w:val="000000"/>
              </w:rPr>
              <w:t> </w:t>
            </w:r>
          </w:p>
        </w:tc>
        <w:tc>
          <w:tcPr>
            <w:tcW w:w="2257" w:type="dxa"/>
            <w:tcBorders>
              <w:top w:val="nil"/>
              <w:left w:val="nil"/>
              <w:bottom w:val="single" w:sz="4" w:space="0" w:color="auto"/>
              <w:right w:val="single" w:sz="4" w:space="0" w:color="auto"/>
            </w:tcBorders>
            <w:shd w:val="clear" w:color="auto" w:fill="auto"/>
            <w:noWrap/>
            <w:vAlign w:val="bottom"/>
            <w:hideMark/>
          </w:tcPr>
          <w:p w14:paraId="04F986DC"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73B74BD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59E5272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71B2DD3"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B9D5C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0C4A7914"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2013A2A6"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2E18CD5A"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1A28667E"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1AF0A487"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1CE47DBA"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04B8024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23BBF4D"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26A338"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0A5088AB"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4E97BC1F"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7436A65F"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088AB23E"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4BE49F0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1CB4E93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6362D1FE"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1EEB44"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34826A"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4B7C203B"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73ED5DDC"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783E9790"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6F99889D"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701AE3D9"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52A3DC90"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73516D5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5DC3ABC"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C604A8"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13AD6A04"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7EC8CBC7"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5BFFFE7D" w14:textId="77777777" w:rsidTr="00EF27C1">
        <w:trPr>
          <w:trHeight w:val="300"/>
        </w:trPr>
        <w:tc>
          <w:tcPr>
            <w:tcW w:w="1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495C56" w14:textId="77777777" w:rsidR="002C4319" w:rsidRPr="00A400EA" w:rsidRDefault="002C4319" w:rsidP="00EF27C1">
            <w:pPr>
              <w:spacing w:after="0" w:line="240" w:lineRule="auto"/>
              <w:jc w:val="center"/>
              <w:rPr>
                <w:rFonts w:cs="Arial"/>
                <w:color w:val="000000"/>
              </w:rPr>
            </w:pPr>
            <w:r w:rsidRPr="00A400EA">
              <w:rPr>
                <w:rFonts w:cs="Arial"/>
                <w:color w:val="000000"/>
              </w:rPr>
              <w:t> </w:t>
            </w:r>
          </w:p>
        </w:tc>
        <w:tc>
          <w:tcPr>
            <w:tcW w:w="2257" w:type="dxa"/>
            <w:tcBorders>
              <w:top w:val="nil"/>
              <w:left w:val="nil"/>
              <w:bottom w:val="single" w:sz="4" w:space="0" w:color="auto"/>
              <w:right w:val="single" w:sz="4" w:space="0" w:color="auto"/>
            </w:tcBorders>
            <w:shd w:val="clear" w:color="auto" w:fill="auto"/>
            <w:noWrap/>
            <w:vAlign w:val="bottom"/>
            <w:hideMark/>
          </w:tcPr>
          <w:p w14:paraId="5D680DCE"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7BE68B5F"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567DBF29"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11B6748"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55F167"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131AB16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02143348"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6607F876"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06D2D722"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6193F609"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0452AA70"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72614521"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8A5F6E8"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FDD5C2"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FE452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42AF9C32"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1C9E9731"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5AD3BFF3"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0877BB80"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7460D864"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425A6BB0"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1E2266A"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E8846D"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222D3439"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393477" w14:textId="77777777" w:rsidR="002C4319" w:rsidRPr="00A400EA" w:rsidRDefault="002C4319" w:rsidP="00EF27C1">
            <w:pPr>
              <w:spacing w:after="0" w:line="240" w:lineRule="auto"/>
              <w:rPr>
                <w:rFonts w:cs="Arial"/>
                <w:color w:val="000000"/>
              </w:rPr>
            </w:pPr>
            <w:r w:rsidRPr="00A400EA">
              <w:rPr>
                <w:rFonts w:cs="Arial"/>
                <w:color w:val="000000"/>
              </w:rPr>
              <w:t> </w:t>
            </w:r>
          </w:p>
        </w:tc>
      </w:tr>
      <w:tr w:rsidR="002C4319" w:rsidRPr="00A400EA" w14:paraId="245DCE1E" w14:textId="77777777" w:rsidTr="00EF27C1">
        <w:trPr>
          <w:trHeight w:val="300"/>
        </w:trPr>
        <w:tc>
          <w:tcPr>
            <w:tcW w:w="1562" w:type="dxa"/>
            <w:vMerge/>
            <w:tcBorders>
              <w:top w:val="nil"/>
              <w:left w:val="single" w:sz="4" w:space="0" w:color="auto"/>
              <w:bottom w:val="single" w:sz="4" w:space="0" w:color="auto"/>
              <w:right w:val="single" w:sz="4" w:space="0" w:color="auto"/>
            </w:tcBorders>
            <w:vAlign w:val="center"/>
            <w:hideMark/>
          </w:tcPr>
          <w:p w14:paraId="0B1B041A" w14:textId="77777777" w:rsidR="002C4319" w:rsidRPr="00A400EA" w:rsidRDefault="002C4319" w:rsidP="00EF27C1">
            <w:pPr>
              <w:spacing w:after="0" w:line="240" w:lineRule="auto"/>
              <w:rPr>
                <w:rFonts w:cs="Arial"/>
                <w:color w:val="000000"/>
              </w:rPr>
            </w:pPr>
          </w:p>
        </w:tc>
        <w:tc>
          <w:tcPr>
            <w:tcW w:w="2257" w:type="dxa"/>
            <w:tcBorders>
              <w:top w:val="nil"/>
              <w:left w:val="nil"/>
              <w:bottom w:val="single" w:sz="4" w:space="0" w:color="auto"/>
              <w:right w:val="single" w:sz="4" w:space="0" w:color="auto"/>
            </w:tcBorders>
            <w:shd w:val="clear" w:color="auto" w:fill="auto"/>
            <w:noWrap/>
            <w:vAlign w:val="bottom"/>
            <w:hideMark/>
          </w:tcPr>
          <w:p w14:paraId="26790FFF"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083" w:type="dxa"/>
            <w:gridSpan w:val="2"/>
            <w:tcBorders>
              <w:top w:val="nil"/>
              <w:left w:val="nil"/>
              <w:bottom w:val="single" w:sz="4" w:space="0" w:color="auto"/>
              <w:right w:val="single" w:sz="4" w:space="0" w:color="auto"/>
            </w:tcBorders>
            <w:shd w:val="clear" w:color="auto" w:fill="auto"/>
            <w:noWrap/>
            <w:vAlign w:val="bottom"/>
            <w:hideMark/>
          </w:tcPr>
          <w:p w14:paraId="0D67661B"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328" w:type="dxa"/>
            <w:tcBorders>
              <w:top w:val="nil"/>
              <w:left w:val="nil"/>
              <w:bottom w:val="single" w:sz="4" w:space="0" w:color="auto"/>
              <w:right w:val="single" w:sz="4" w:space="0" w:color="auto"/>
            </w:tcBorders>
            <w:shd w:val="clear" w:color="auto" w:fill="auto"/>
            <w:noWrap/>
            <w:vAlign w:val="bottom"/>
            <w:hideMark/>
          </w:tcPr>
          <w:p w14:paraId="52C4E3B0"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65FB485"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9D4D81"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2DB2F2A8" w14:textId="77777777" w:rsidR="002C4319" w:rsidRPr="00A400EA" w:rsidRDefault="002C4319" w:rsidP="00EF27C1">
            <w:pPr>
              <w:spacing w:after="0" w:line="240" w:lineRule="auto"/>
              <w:rPr>
                <w:rFonts w:cs="Arial"/>
                <w:color w:val="000000"/>
              </w:rPr>
            </w:pPr>
            <w:r w:rsidRPr="00A400EA">
              <w:rPr>
                <w:rFonts w:cs="Arial"/>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4513D1A0" w14:textId="77777777" w:rsidR="002C4319" w:rsidRPr="00A400EA" w:rsidRDefault="002C4319" w:rsidP="00EF27C1">
            <w:pPr>
              <w:spacing w:after="0" w:line="240" w:lineRule="auto"/>
              <w:rPr>
                <w:rFonts w:cs="Arial"/>
                <w:color w:val="000000"/>
              </w:rPr>
            </w:pPr>
            <w:r w:rsidRPr="00A400EA">
              <w:rPr>
                <w:rFonts w:cs="Arial"/>
                <w:color w:val="000000"/>
              </w:rPr>
              <w:t> </w:t>
            </w:r>
          </w:p>
        </w:tc>
      </w:tr>
    </w:tbl>
    <w:p w14:paraId="3DB90EBE" w14:textId="77777777" w:rsidR="002C4319" w:rsidRPr="00A400EA" w:rsidRDefault="002C4319" w:rsidP="002C4319">
      <w:pPr>
        <w:pStyle w:val="TitleText"/>
        <w:spacing w:before="0" w:after="0"/>
        <w:rPr>
          <w:rFonts w:cs="Arial"/>
          <w:b w:val="0"/>
          <w:bCs/>
          <w:color w:val="000000"/>
          <w:sz w:val="22"/>
          <w:szCs w:val="22"/>
        </w:rPr>
      </w:pPr>
    </w:p>
    <w:p w14:paraId="776F899E" w14:textId="77777777" w:rsidR="003871C9" w:rsidRPr="0003605F" w:rsidRDefault="003871C9" w:rsidP="003871C9">
      <w:pPr>
        <w:jc w:val="both"/>
        <w:rPr>
          <w:sz w:val="24"/>
          <w:szCs w:val="24"/>
        </w:rPr>
      </w:pPr>
    </w:p>
    <w:p w14:paraId="464D5E04" w14:textId="77777777" w:rsidR="00DA530E" w:rsidRDefault="00DA530E" w:rsidP="00DA530E">
      <w:pPr>
        <w:spacing w:after="0"/>
        <w:jc w:val="both"/>
        <w:rPr>
          <w:sz w:val="24"/>
          <w:szCs w:val="24"/>
        </w:rPr>
      </w:pPr>
    </w:p>
    <w:p w14:paraId="5F4EB9A5" w14:textId="77777777" w:rsidR="00DA530E" w:rsidRDefault="00DA530E" w:rsidP="00DA530E">
      <w:pPr>
        <w:spacing w:after="0"/>
        <w:jc w:val="both"/>
        <w:rPr>
          <w:sz w:val="24"/>
          <w:szCs w:val="24"/>
        </w:rPr>
      </w:pPr>
    </w:p>
    <w:p w14:paraId="4A209390" w14:textId="211C8CB5" w:rsidR="00DA530E" w:rsidRDefault="00F71546" w:rsidP="00DA530E">
      <w:pPr>
        <w:spacing w:after="0"/>
        <w:jc w:val="both"/>
        <w:rPr>
          <w:sz w:val="24"/>
          <w:szCs w:val="24"/>
        </w:rPr>
      </w:pPr>
      <w:r w:rsidRPr="00DA0966">
        <w:rPr>
          <w:sz w:val="24"/>
          <w:szCs w:val="24"/>
        </w:rPr>
        <w:t xml:space="preserve">Adopted on: </w:t>
      </w:r>
    </w:p>
    <w:p w14:paraId="23EB3848" w14:textId="4A8477F2" w:rsidR="00F71546" w:rsidRPr="00DA0966" w:rsidRDefault="00F71546" w:rsidP="00DA530E">
      <w:pPr>
        <w:spacing w:after="0"/>
        <w:jc w:val="both"/>
        <w:rPr>
          <w:sz w:val="24"/>
          <w:szCs w:val="24"/>
        </w:rPr>
      </w:pPr>
      <w:r w:rsidRPr="00DA0966">
        <w:rPr>
          <w:sz w:val="24"/>
          <w:szCs w:val="24"/>
        </w:rPr>
        <w:t xml:space="preserve">Minute No: </w:t>
      </w:r>
    </w:p>
    <w:p w14:paraId="11DADC9A" w14:textId="0681DB04" w:rsidR="00F71546" w:rsidRPr="00DA0966" w:rsidRDefault="00F71546" w:rsidP="00DA0966">
      <w:pPr>
        <w:jc w:val="both"/>
        <w:rPr>
          <w:sz w:val="24"/>
          <w:szCs w:val="24"/>
        </w:rPr>
      </w:pPr>
      <w:r w:rsidRPr="00DA0966">
        <w:rPr>
          <w:sz w:val="24"/>
          <w:szCs w:val="24"/>
        </w:rPr>
        <w:t xml:space="preserve">Review: </w:t>
      </w:r>
    </w:p>
    <w:p w14:paraId="5B3807DE" w14:textId="77777777" w:rsidR="00B93805" w:rsidRPr="00DA0966" w:rsidRDefault="00B93805" w:rsidP="00DA0966">
      <w:pPr>
        <w:jc w:val="both"/>
        <w:rPr>
          <w:sz w:val="24"/>
          <w:szCs w:val="24"/>
        </w:rPr>
      </w:pPr>
    </w:p>
    <w:sectPr w:rsidR="00B93805" w:rsidRPr="00DA0966" w:rsidSect="002C43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46"/>
    <w:rsid w:val="0003605F"/>
    <w:rsid w:val="000B6AD5"/>
    <w:rsid w:val="002C4319"/>
    <w:rsid w:val="003871C9"/>
    <w:rsid w:val="004617E4"/>
    <w:rsid w:val="006A3332"/>
    <w:rsid w:val="008960C9"/>
    <w:rsid w:val="00995BC8"/>
    <w:rsid w:val="00B93805"/>
    <w:rsid w:val="00C86E13"/>
    <w:rsid w:val="00DA0966"/>
    <w:rsid w:val="00DA530E"/>
    <w:rsid w:val="00EE622F"/>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7A6A"/>
  <w15:chartTrackingRefBased/>
  <w15:docId w15:val="{F1DF9208-CA1F-4E66-8BAB-0ADF1EEA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546"/>
    <w:rPr>
      <w:rFonts w:eastAsiaTheme="majorEastAsia" w:cstheme="majorBidi"/>
      <w:color w:val="272727" w:themeColor="text1" w:themeTint="D8"/>
    </w:rPr>
  </w:style>
  <w:style w:type="paragraph" w:styleId="Title">
    <w:name w:val="Title"/>
    <w:basedOn w:val="Normal"/>
    <w:next w:val="Normal"/>
    <w:link w:val="TitleChar"/>
    <w:uiPriority w:val="10"/>
    <w:qFormat/>
    <w:rsid w:val="00F71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546"/>
    <w:pPr>
      <w:spacing w:before="160"/>
      <w:jc w:val="center"/>
    </w:pPr>
    <w:rPr>
      <w:i/>
      <w:iCs/>
      <w:color w:val="404040" w:themeColor="text1" w:themeTint="BF"/>
    </w:rPr>
  </w:style>
  <w:style w:type="character" w:customStyle="1" w:styleId="QuoteChar">
    <w:name w:val="Quote Char"/>
    <w:basedOn w:val="DefaultParagraphFont"/>
    <w:link w:val="Quote"/>
    <w:uiPriority w:val="29"/>
    <w:rsid w:val="00F71546"/>
    <w:rPr>
      <w:i/>
      <w:iCs/>
      <w:color w:val="404040" w:themeColor="text1" w:themeTint="BF"/>
    </w:rPr>
  </w:style>
  <w:style w:type="paragraph" w:styleId="ListParagraph">
    <w:name w:val="List Paragraph"/>
    <w:basedOn w:val="Normal"/>
    <w:uiPriority w:val="34"/>
    <w:qFormat/>
    <w:rsid w:val="00F71546"/>
    <w:pPr>
      <w:ind w:left="720"/>
      <w:contextualSpacing/>
    </w:pPr>
  </w:style>
  <w:style w:type="character" w:styleId="IntenseEmphasis">
    <w:name w:val="Intense Emphasis"/>
    <w:basedOn w:val="DefaultParagraphFont"/>
    <w:uiPriority w:val="21"/>
    <w:qFormat/>
    <w:rsid w:val="00F71546"/>
    <w:rPr>
      <w:i/>
      <w:iCs/>
      <w:color w:val="0F4761" w:themeColor="accent1" w:themeShade="BF"/>
    </w:rPr>
  </w:style>
  <w:style w:type="paragraph" w:styleId="IntenseQuote">
    <w:name w:val="Intense Quote"/>
    <w:basedOn w:val="Normal"/>
    <w:next w:val="Normal"/>
    <w:link w:val="IntenseQuoteChar"/>
    <w:uiPriority w:val="30"/>
    <w:qFormat/>
    <w:rsid w:val="00F71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546"/>
    <w:rPr>
      <w:i/>
      <w:iCs/>
      <w:color w:val="0F4761" w:themeColor="accent1" w:themeShade="BF"/>
    </w:rPr>
  </w:style>
  <w:style w:type="character" w:styleId="IntenseReference">
    <w:name w:val="Intense Reference"/>
    <w:basedOn w:val="DefaultParagraphFont"/>
    <w:uiPriority w:val="32"/>
    <w:qFormat/>
    <w:rsid w:val="00F71546"/>
    <w:rPr>
      <w:b/>
      <w:bCs/>
      <w:smallCaps/>
      <w:color w:val="0F4761" w:themeColor="accent1" w:themeShade="BF"/>
      <w:spacing w:val="5"/>
    </w:rPr>
  </w:style>
  <w:style w:type="paragraph" w:customStyle="1" w:styleId="TitleText">
    <w:name w:val="TitleText"/>
    <w:basedOn w:val="Title"/>
    <w:link w:val="TitleTextChar"/>
    <w:unhideWhenUsed/>
    <w:qFormat/>
    <w:rsid w:val="002C4319"/>
    <w:pPr>
      <w:spacing w:before="3600" w:after="240"/>
      <w:contextualSpacing w:val="0"/>
    </w:pPr>
    <w:rPr>
      <w:rFonts w:ascii="Arial" w:eastAsia="Times New Roman" w:hAnsi="Arial" w:cs="Times New Roman"/>
      <w:b/>
      <w:color w:val="104F75"/>
      <w:spacing w:val="0"/>
      <w:kern w:val="0"/>
      <w:sz w:val="92"/>
      <w:szCs w:val="92"/>
      <w:lang w:eastAsia="en-GB"/>
      <w14:ligatures w14:val="none"/>
    </w:rPr>
  </w:style>
  <w:style w:type="character" w:customStyle="1" w:styleId="TitleTextChar">
    <w:name w:val="TitleText Char"/>
    <w:link w:val="TitleText"/>
    <w:rsid w:val="002C4319"/>
    <w:rPr>
      <w:rFonts w:ascii="Arial" w:eastAsia="Times New Roman" w:hAnsi="Arial" w:cs="Times New Roman"/>
      <w:b/>
      <w:color w:val="104F75"/>
      <w:kern w:val="0"/>
      <w:sz w:val="92"/>
      <w:szCs w:val="9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9</cp:revision>
  <dcterms:created xsi:type="dcterms:W3CDTF">2025-07-29T15:51:00Z</dcterms:created>
  <dcterms:modified xsi:type="dcterms:W3CDTF">2025-07-31T11:47:00Z</dcterms:modified>
</cp:coreProperties>
</file>