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tblCellMar>
          <w:left w:w="0" w:type="dxa"/>
          <w:right w:w="0" w:type="dxa"/>
        </w:tblCellMar>
        <w:tblLook w:val="04A0" w:firstRow="1" w:lastRow="0" w:firstColumn="1" w:lastColumn="0" w:noHBand="0" w:noVBand="1"/>
      </w:tblPr>
      <w:tblGrid>
        <w:gridCol w:w="10466"/>
      </w:tblGrid>
      <w:tr w:rsidR="000E7ECB" w:rsidRPr="000E7ECB" w14:paraId="59514AAB" w14:textId="77777777" w:rsidTr="000E7ECB">
        <w:trPr>
          <w:tblCellSpacing w:w="0" w:type="dxa"/>
        </w:trPr>
        <w:tc>
          <w:tcPr>
            <w:tcW w:w="0" w:type="auto"/>
            <w:vAlign w:val="center"/>
            <w:hideMark/>
          </w:tcPr>
          <w:tbl>
            <w:tblPr>
              <w:tblW w:w="11250" w:type="dxa"/>
              <w:jc w:val="center"/>
              <w:tblCellSpacing w:w="0" w:type="dxa"/>
              <w:shd w:val="clear" w:color="auto" w:fill="FFFFFF"/>
              <w:tblCellMar>
                <w:left w:w="0" w:type="dxa"/>
                <w:right w:w="0" w:type="dxa"/>
              </w:tblCellMar>
              <w:tblLook w:val="04A0" w:firstRow="1" w:lastRow="0" w:firstColumn="1" w:lastColumn="0" w:noHBand="0" w:noVBand="1"/>
            </w:tblPr>
            <w:tblGrid>
              <w:gridCol w:w="10466"/>
            </w:tblGrid>
            <w:tr w:rsidR="000E7ECB" w:rsidRPr="000E7ECB" w14:paraId="479095FB" w14:textId="77777777">
              <w:trPr>
                <w:tblCellSpacing w:w="0" w:type="dxa"/>
                <w:jc w:val="center"/>
              </w:trPr>
              <w:tc>
                <w:tcPr>
                  <w:tcW w:w="0" w:type="auto"/>
                  <w:shd w:val="clear" w:color="auto" w:fill="FFFFFF"/>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10466"/>
                  </w:tblGrid>
                  <w:tr w:rsidR="000E7ECB" w:rsidRPr="000E7ECB" w14:paraId="24F40C67" w14:textId="77777777">
                    <w:trPr>
                      <w:tblCellSpacing w:w="0" w:type="dxa"/>
                    </w:trPr>
                    <w:tc>
                      <w:tcPr>
                        <w:tcW w:w="0" w:type="auto"/>
                        <w:vAlign w:val="center"/>
                        <w:hideMark/>
                      </w:tcPr>
                      <w:p w14:paraId="645ED3E6" w14:textId="7BFFB041" w:rsidR="000E7ECB" w:rsidRPr="000E7ECB" w:rsidRDefault="000E7ECB" w:rsidP="000E7ECB">
                        <w:r w:rsidRPr="000E7ECB">
                          <w:drawing>
                            <wp:inline distT="0" distB="0" distL="0" distR="0" wp14:anchorId="23D99740" wp14:editId="48F50CFA">
                              <wp:extent cx="2095500" cy="1394460"/>
                              <wp:effectExtent l="0" t="0" r="0" b="0"/>
                              <wp:docPr id="1780890933"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1394460"/>
                                      </a:xfrm>
                                      <a:prstGeom prst="rect">
                                        <a:avLst/>
                                      </a:prstGeom>
                                      <a:noFill/>
                                      <a:ln>
                                        <a:noFill/>
                                      </a:ln>
                                    </pic:spPr>
                                  </pic:pic>
                                </a:graphicData>
                              </a:graphic>
                            </wp:inline>
                          </w:drawing>
                        </w:r>
                      </w:p>
                    </w:tc>
                  </w:tr>
                </w:tbl>
                <w:p w14:paraId="418C89D5" w14:textId="77777777" w:rsidR="000E7ECB" w:rsidRPr="000E7ECB" w:rsidRDefault="000E7ECB" w:rsidP="000E7ECB"/>
              </w:tc>
            </w:tr>
            <w:tr w:rsidR="000E7ECB" w:rsidRPr="000E7ECB" w14:paraId="7B6EAF0D" w14:textId="77777777">
              <w:trPr>
                <w:tblCellSpacing w:w="0" w:type="dxa"/>
                <w:jc w:val="center"/>
              </w:trPr>
              <w:tc>
                <w:tcPr>
                  <w:tcW w:w="0" w:type="auto"/>
                  <w:shd w:val="clear" w:color="auto" w:fill="FFFFFF"/>
                  <w:vAlign w:val="center"/>
                </w:tcPr>
                <w:tbl>
                  <w:tblPr>
                    <w:tblW w:w="11250" w:type="dxa"/>
                    <w:tblCellSpacing w:w="0" w:type="dxa"/>
                    <w:tblCellMar>
                      <w:top w:w="180" w:type="dxa"/>
                      <w:left w:w="180" w:type="dxa"/>
                      <w:bottom w:w="180" w:type="dxa"/>
                      <w:right w:w="180" w:type="dxa"/>
                    </w:tblCellMar>
                    <w:tblLook w:val="04A0" w:firstRow="1" w:lastRow="0" w:firstColumn="1" w:lastColumn="0" w:noHBand="0" w:noVBand="1"/>
                  </w:tblPr>
                  <w:tblGrid>
                    <w:gridCol w:w="11250"/>
                  </w:tblGrid>
                  <w:tr w:rsidR="000E7ECB" w:rsidRPr="000E7ECB" w14:paraId="66AF01E9" w14:textId="77777777">
                    <w:trPr>
                      <w:tblCellSpacing w:w="0" w:type="dxa"/>
                    </w:trPr>
                    <w:tc>
                      <w:tcPr>
                        <w:tcW w:w="0" w:type="auto"/>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10890"/>
                        </w:tblGrid>
                        <w:tr w:rsidR="000E7ECB" w:rsidRPr="000E7ECB" w14:paraId="3B5516BD" w14:textId="77777777">
                          <w:trPr>
                            <w:tblCellSpacing w:w="0" w:type="dxa"/>
                          </w:trPr>
                          <w:tc>
                            <w:tcPr>
                              <w:tcW w:w="0" w:type="auto"/>
                              <w:vAlign w:val="center"/>
                            </w:tcPr>
                            <w:p w14:paraId="10D6A3B7" w14:textId="77777777" w:rsidR="000E7ECB" w:rsidRPr="000E7ECB" w:rsidRDefault="000E7ECB" w:rsidP="000E7ECB">
                              <w:r w:rsidRPr="000E7ECB">
                                <w:rPr>
                                  <w:b/>
                                  <w:bCs/>
                                </w:rPr>
                                <w:t xml:space="preserve">news release </w:t>
                              </w:r>
                            </w:p>
                            <w:p w14:paraId="15535BAE" w14:textId="77777777" w:rsidR="000E7ECB" w:rsidRPr="000E7ECB" w:rsidRDefault="000E7ECB" w:rsidP="000E7ECB">
                              <w:r w:rsidRPr="000E7ECB">
                                <w:rPr>
                                  <w:b/>
                                  <w:bCs/>
                                </w:rPr>
                                <w:t xml:space="preserve">11 March 2025 </w:t>
                              </w:r>
                            </w:p>
                            <w:p w14:paraId="39F0DE87" w14:textId="77777777" w:rsidR="000E7ECB" w:rsidRPr="000E7ECB" w:rsidRDefault="000E7ECB" w:rsidP="000E7ECB"/>
                            <w:p w14:paraId="6895C359" w14:textId="77777777" w:rsidR="000E7ECB" w:rsidRPr="000E7ECB" w:rsidRDefault="000E7ECB" w:rsidP="000E7ECB">
                              <w:r w:rsidRPr="000E7ECB">
                                <w:rPr>
                                  <w:b/>
                                  <w:bCs/>
                                </w:rPr>
                                <w:t xml:space="preserve">County council and partners preparing next steps in devolution and local government reorganisation </w:t>
                              </w:r>
                            </w:p>
                            <w:p w14:paraId="54741329" w14:textId="77777777" w:rsidR="000E7ECB" w:rsidRPr="000E7ECB" w:rsidRDefault="000E7ECB" w:rsidP="000E7ECB"/>
                            <w:p w14:paraId="040FDFF8" w14:textId="77777777" w:rsidR="000E7ECB" w:rsidRPr="000E7ECB" w:rsidRDefault="000E7ECB" w:rsidP="000E7ECB">
                              <w:r w:rsidRPr="000E7ECB">
                                <w:t>West Sussex County Council and its partners are setting out the next steps in the devolution and local government reorganisation plans for Sussex. </w:t>
                              </w:r>
                            </w:p>
                            <w:p w14:paraId="700FD8ED" w14:textId="77777777" w:rsidR="000E7ECB" w:rsidRPr="000E7ECB" w:rsidRDefault="000E7ECB" w:rsidP="000E7ECB">
                              <w:r w:rsidRPr="000E7ECB">
                                <w:t> </w:t>
                              </w:r>
                            </w:p>
                            <w:p w14:paraId="2B01DFE7" w14:textId="77777777" w:rsidR="000E7ECB" w:rsidRPr="000E7ECB" w:rsidRDefault="000E7ECB" w:rsidP="000E7ECB">
                              <w:r w:rsidRPr="000E7ECB">
                                <w:t>Planning is underway for the two separate processes that will shape the future of local authorities and delivery of services in the county. </w:t>
                              </w:r>
                            </w:p>
                            <w:p w14:paraId="01F778AA" w14:textId="77777777" w:rsidR="000E7ECB" w:rsidRPr="000E7ECB" w:rsidRDefault="000E7ECB" w:rsidP="000E7ECB">
                              <w:r w:rsidRPr="000E7ECB">
                                <w:t> </w:t>
                              </w:r>
                            </w:p>
                            <w:p w14:paraId="0DDCB9C6" w14:textId="77777777" w:rsidR="000E7ECB" w:rsidRPr="000E7ECB" w:rsidRDefault="000E7ECB" w:rsidP="000E7ECB">
                              <w:pPr>
                                <w:numPr>
                                  <w:ilvl w:val="0"/>
                                  <w:numId w:val="1"/>
                                </w:numPr>
                              </w:pPr>
                              <w:r w:rsidRPr="000E7ECB">
                                <w:rPr>
                                  <w:i/>
                                  <w:iCs/>
                                </w:rPr>
                                <w:t>Devolution</w:t>
                              </w:r>
                              <w:r w:rsidRPr="000E7ECB">
                                <w:t> is the transfer of powers and funding from national to local government, specifically strategic authorities led by a mayor. </w:t>
                              </w:r>
                            </w:p>
                            <w:p w14:paraId="67CF9441" w14:textId="77777777" w:rsidR="000E7ECB" w:rsidRPr="000E7ECB" w:rsidRDefault="000E7ECB" w:rsidP="000E7ECB">
                              <w:pPr>
                                <w:numPr>
                                  <w:ilvl w:val="0"/>
                                  <w:numId w:val="1"/>
                                </w:numPr>
                              </w:pPr>
                              <w:r w:rsidRPr="000E7ECB">
                                <w:rPr>
                                  <w:i/>
                                  <w:iCs/>
                                </w:rPr>
                                <w:t>Local government reorganisation</w:t>
                              </w:r>
                              <w:r w:rsidRPr="000E7ECB">
                                <w:t> is the process of restructuring local authorities, specifically to move to a single level of government in areas of England where there are currently two (such as West Sussex). </w:t>
                              </w:r>
                            </w:p>
                            <w:p w14:paraId="217782B8" w14:textId="77777777" w:rsidR="000E7ECB" w:rsidRPr="000E7ECB" w:rsidRDefault="000E7ECB" w:rsidP="000E7ECB">
                              <w:r w:rsidRPr="000E7ECB">
                                <w:t> </w:t>
                              </w:r>
                            </w:p>
                            <w:p w14:paraId="00DE7F0D" w14:textId="77777777" w:rsidR="000E7ECB" w:rsidRPr="000E7ECB" w:rsidRDefault="000E7ECB" w:rsidP="000E7ECB">
                              <w:r w:rsidRPr="000E7ECB">
                                <w:rPr>
                                  <w:b/>
                                  <w:bCs/>
                                </w:rPr>
                                <w:t>Devolution next steps </w:t>
                              </w:r>
                            </w:p>
                            <w:p w14:paraId="72BCBDA8" w14:textId="77777777" w:rsidR="000E7ECB" w:rsidRPr="000E7ECB" w:rsidRDefault="000E7ECB" w:rsidP="000E7ECB">
                              <w:r w:rsidRPr="000E7ECB">
                                <w:t>A government-run consultation is underway on the proposal for a strategic combined authority with an elected mayor for Sussex &amp; Brighton. The consultation runs until 13 April 2025, and everyone is invited to have their say.</w:t>
                              </w:r>
                            </w:p>
                            <w:p w14:paraId="4DC4CF1E" w14:textId="77777777" w:rsidR="000E7ECB" w:rsidRPr="000E7ECB" w:rsidRDefault="000E7ECB" w:rsidP="000E7ECB">
                              <w:r w:rsidRPr="000E7ECB">
                                <w:t> </w:t>
                              </w:r>
                            </w:p>
                            <w:p w14:paraId="124A854C" w14:textId="77777777" w:rsidR="000E7ECB" w:rsidRPr="000E7ECB" w:rsidRDefault="000E7ECB" w:rsidP="000E7ECB">
                              <w:r w:rsidRPr="000E7ECB">
                                <w:t>The plan is for elections for a mayor to take place in May 2026. </w:t>
                              </w:r>
                            </w:p>
                            <w:p w14:paraId="4FE86E74" w14:textId="77777777" w:rsidR="000E7ECB" w:rsidRPr="000E7ECB" w:rsidRDefault="000E7ECB" w:rsidP="000E7ECB">
                              <w:r w:rsidRPr="000E7ECB">
                                <w:t> </w:t>
                              </w:r>
                            </w:p>
                            <w:p w14:paraId="22E23AAC" w14:textId="77777777" w:rsidR="000E7ECB" w:rsidRPr="000E7ECB" w:rsidRDefault="000E7ECB" w:rsidP="000E7ECB">
                              <w:r w:rsidRPr="000E7ECB">
                                <w:t>This follows publication of the government’s white paper on devolution in December last year, and approval in February of the bid from West Sussex County Council, East Sussex County Council, and Brighton &amp; Hove City Council to join the fast-track programme. </w:t>
                              </w:r>
                            </w:p>
                            <w:p w14:paraId="5BF1ACDA" w14:textId="77777777" w:rsidR="000E7ECB" w:rsidRPr="000E7ECB" w:rsidRDefault="000E7ECB" w:rsidP="000E7ECB">
                              <w:r w:rsidRPr="000E7ECB">
                                <w:t> </w:t>
                              </w:r>
                            </w:p>
                            <w:p w14:paraId="61811543" w14:textId="77777777" w:rsidR="000E7ECB" w:rsidRPr="000E7ECB" w:rsidRDefault="000E7ECB" w:rsidP="000E7ECB">
                              <w:r w:rsidRPr="000E7ECB">
                                <w:lastRenderedPageBreak/>
                                <w:t xml:space="preserve">West Sussex County Council Leader, Cllr Paul Marshall, said: “Establishing a combined authority and elected mayor is a great opportunity for Sussex that will see decisions and funding previously taken at a national government level being made locally instead. It is right the government is consulting on </w:t>
                              </w:r>
                              <w:proofErr w:type="gramStart"/>
                              <w:r w:rsidRPr="000E7ECB">
                                <w:t>this</w:t>
                              </w:r>
                              <w:proofErr w:type="gramEnd"/>
                              <w:r w:rsidRPr="000E7ECB">
                                <w:t xml:space="preserve"> and I urge everyone to take part in the consultation to ensure their voice is heard.”</w:t>
                              </w:r>
                            </w:p>
                            <w:p w14:paraId="3019A506" w14:textId="77777777" w:rsidR="000E7ECB" w:rsidRPr="000E7ECB" w:rsidRDefault="000E7ECB" w:rsidP="000E7ECB">
                              <w:r w:rsidRPr="000E7ECB">
                                <w:t> </w:t>
                              </w:r>
                            </w:p>
                            <w:p w14:paraId="62DCB06B" w14:textId="77777777" w:rsidR="000E7ECB" w:rsidRPr="000E7ECB" w:rsidRDefault="000E7ECB" w:rsidP="000E7ECB">
                              <w:r w:rsidRPr="000E7ECB">
                                <w:rPr>
                                  <w:b/>
                                  <w:bCs/>
                                </w:rPr>
                                <w:t>Local government reorganisation next steps </w:t>
                              </w:r>
                            </w:p>
                            <w:p w14:paraId="4768DF86" w14:textId="77777777" w:rsidR="000E7ECB" w:rsidRPr="000E7ECB" w:rsidRDefault="000E7ECB" w:rsidP="000E7ECB">
                              <w:r w:rsidRPr="000E7ECB">
                                <w:t> </w:t>
                              </w:r>
                            </w:p>
                            <w:p w14:paraId="1D53EBAD" w14:textId="77777777" w:rsidR="000E7ECB" w:rsidRPr="000E7ECB" w:rsidRDefault="000E7ECB" w:rsidP="000E7ECB">
                              <w:r w:rsidRPr="000E7ECB">
                                <w:t>The government has asked councils in West Sussex to work collaboratively and come up with options on the future of single-tier local government in the county. </w:t>
                              </w:r>
                            </w:p>
                            <w:p w14:paraId="37851714" w14:textId="77777777" w:rsidR="000E7ECB" w:rsidRPr="000E7ECB" w:rsidRDefault="000E7ECB" w:rsidP="000E7ECB">
                              <w:r w:rsidRPr="000E7ECB">
                                <w:t> </w:t>
                              </w:r>
                            </w:p>
                            <w:p w14:paraId="07D31BD5" w14:textId="77777777" w:rsidR="000E7ECB" w:rsidRPr="000E7ECB" w:rsidRDefault="000E7ECB" w:rsidP="000E7ECB">
                              <w:r w:rsidRPr="000E7ECB">
                                <w:t>We are discussing these options with our partners in the district and borough councils and will present these to government on Friday 21 March. The options are not a decision but proposals we are working on for an evidence-based decision for a final submission in September 2025.</w:t>
                              </w:r>
                            </w:p>
                            <w:p w14:paraId="48DF6B62" w14:textId="77777777" w:rsidR="000E7ECB" w:rsidRPr="000E7ECB" w:rsidRDefault="000E7ECB" w:rsidP="000E7ECB">
                              <w:r w:rsidRPr="000E7ECB">
                                <w:t> </w:t>
                              </w:r>
                            </w:p>
                            <w:p w14:paraId="3E276080" w14:textId="77777777" w:rsidR="000E7ECB" w:rsidRPr="000E7ECB" w:rsidRDefault="000E7ECB" w:rsidP="000E7ECB">
                              <w:r w:rsidRPr="000E7ECB">
                                <w:t xml:space="preserve">Cllr Marshall said: “The government has asked us to present options for single-tier unitary local government in the county. I want to be clear that we are presenting options to the government for them to provide guidance on what may or may not be acceptable for the future shape of local government in Sussex. </w:t>
                              </w:r>
                            </w:p>
                            <w:p w14:paraId="07ADD66F" w14:textId="77777777" w:rsidR="000E7ECB" w:rsidRPr="000E7ECB" w:rsidRDefault="000E7ECB" w:rsidP="000E7ECB">
                              <w:r w:rsidRPr="000E7ECB">
                                <w:t> </w:t>
                              </w:r>
                            </w:p>
                            <w:p w14:paraId="33082230" w14:textId="77777777" w:rsidR="000E7ECB" w:rsidRPr="000E7ECB" w:rsidRDefault="000E7ECB" w:rsidP="000E7ECB">
                              <w:r w:rsidRPr="000E7ECB">
                                <w:t>“The government wanted early sight of our proposed options, but the March submissions do not reflect outcomes as more evidence-based work will need to be done following March.</w:t>
                              </w:r>
                            </w:p>
                            <w:p w14:paraId="5A145850" w14:textId="77777777" w:rsidR="000E7ECB" w:rsidRPr="000E7ECB" w:rsidRDefault="000E7ECB" w:rsidP="000E7ECB">
                              <w:r w:rsidRPr="000E7ECB">
                                <w:t> </w:t>
                              </w:r>
                            </w:p>
                            <w:p w14:paraId="598CDCD6" w14:textId="77777777" w:rsidR="000E7ECB" w:rsidRPr="000E7ECB" w:rsidRDefault="000E7ECB" w:rsidP="000E7ECB">
                              <w:r w:rsidRPr="000E7ECB">
                                <w:t>“There will be a list of various options, discussed and agreed collaboratively with our partners, and not a statement of the county council’s preferred model. We will wait for guidance from government to then work, with partners, on what is the best for the county.</w:t>
                              </w:r>
                              <w:r w:rsidRPr="000E7ECB">
                                <w:rPr>
                                  <w:b/>
                                  <w:bCs/>
                                </w:rPr>
                                <w:t xml:space="preserve"> </w:t>
                              </w:r>
                            </w:p>
                            <w:p w14:paraId="0C00ED8A" w14:textId="77777777" w:rsidR="000E7ECB" w:rsidRPr="000E7ECB" w:rsidRDefault="000E7ECB" w:rsidP="000E7ECB">
                              <w:r w:rsidRPr="000E7ECB">
                                <w:rPr>
                                  <w:b/>
                                  <w:bCs/>
                                </w:rPr>
                                <w:t> </w:t>
                              </w:r>
                            </w:p>
                            <w:p w14:paraId="1AA57AE9" w14:textId="77777777" w:rsidR="000E7ECB" w:rsidRPr="000E7ECB" w:rsidRDefault="000E7ECB" w:rsidP="000E7ECB">
                              <w:r w:rsidRPr="000E7ECB">
                                <w:t>“I can also reassure everyone that we will be consulting with our residents, communities, businesses and other interested parties on our proposals during 2025.”</w:t>
                              </w:r>
                            </w:p>
                            <w:p w14:paraId="596903D3" w14:textId="77777777" w:rsidR="000E7ECB" w:rsidRPr="000E7ECB" w:rsidRDefault="000E7ECB" w:rsidP="000E7ECB">
                              <w:r w:rsidRPr="000E7ECB">
                                <w:t> </w:t>
                              </w:r>
                            </w:p>
                            <w:p w14:paraId="2CC4A4EC" w14:textId="77777777" w:rsidR="000E7ECB" w:rsidRPr="000E7ECB" w:rsidRDefault="000E7ECB" w:rsidP="000E7ECB">
                              <w:r w:rsidRPr="000E7ECB">
                                <w:t>The deadline of 21 March is the same day the county council will hold a meeting of its Full Council, which will include a discussion on the next steps for local government reorganisation. </w:t>
                              </w:r>
                            </w:p>
                            <w:p w14:paraId="0EF7C176" w14:textId="77777777" w:rsidR="000E7ECB" w:rsidRPr="000E7ECB" w:rsidRDefault="000E7ECB" w:rsidP="000E7ECB">
                              <w:r w:rsidRPr="000E7ECB">
                                <w:t> </w:t>
                              </w:r>
                            </w:p>
                            <w:p w14:paraId="51C58988" w14:textId="77777777" w:rsidR="000E7ECB" w:rsidRPr="000E7ECB" w:rsidRDefault="000E7ECB" w:rsidP="000E7ECB">
                              <w:hyperlink r:id="rId6" w:history="1">
                                <w:r w:rsidRPr="000E7ECB">
                                  <w:rPr>
                                    <w:rStyle w:val="Hyperlink"/>
                                  </w:rPr>
                                  <w:t>The meeting will be available to watch online on the day, and re-watch afterwards.</w:t>
                                </w:r>
                              </w:hyperlink>
                            </w:p>
                            <w:p w14:paraId="223A130E" w14:textId="77777777" w:rsidR="000E7ECB" w:rsidRPr="000E7ECB" w:rsidRDefault="000E7ECB" w:rsidP="000E7ECB">
                              <w:r w:rsidRPr="000E7ECB">
                                <w:t> </w:t>
                              </w:r>
                            </w:p>
                            <w:p w14:paraId="28F9C219" w14:textId="77777777" w:rsidR="000E7ECB" w:rsidRPr="000E7ECB" w:rsidRDefault="000E7ECB" w:rsidP="000E7ECB">
                              <w:r w:rsidRPr="000E7ECB">
                                <w:t>It is expected that the government will comment on the options later in 2025. </w:t>
                              </w:r>
                            </w:p>
                            <w:p w14:paraId="109813E6" w14:textId="77777777" w:rsidR="000E7ECB" w:rsidRPr="000E7ECB" w:rsidRDefault="000E7ECB" w:rsidP="000E7ECB">
                              <w:r w:rsidRPr="000E7ECB">
                                <w:t>The county council and its partners will then propose the best model for single-tier government in West Sussex, which will be open for consultation. </w:t>
                              </w:r>
                            </w:p>
                            <w:p w14:paraId="354017BA" w14:textId="77777777" w:rsidR="000E7ECB" w:rsidRPr="000E7ECB" w:rsidRDefault="000E7ECB" w:rsidP="000E7ECB">
                              <w:r w:rsidRPr="000E7ECB">
                                <w:lastRenderedPageBreak/>
                                <w:t> </w:t>
                              </w:r>
                            </w:p>
                            <w:p w14:paraId="76DB04BF" w14:textId="77777777" w:rsidR="000E7ECB" w:rsidRPr="000E7ECB" w:rsidRDefault="000E7ECB" w:rsidP="000E7ECB">
                              <w:r w:rsidRPr="000E7ECB">
                                <w:t>A full business case will be submitted to government later this year in September.  </w:t>
                              </w:r>
                            </w:p>
                            <w:p w14:paraId="5DA70F24" w14:textId="2DA08DA8" w:rsidR="000E7ECB" w:rsidRPr="000E7ECB" w:rsidRDefault="000E7ECB" w:rsidP="000E7ECB">
                              <w:r w:rsidRPr="000E7ECB">
                                <w:t> </w:t>
                              </w:r>
                            </w:p>
                            <w:p w14:paraId="6CFCCD30" w14:textId="77777777" w:rsidR="000E7ECB" w:rsidRPr="000E7ECB" w:rsidRDefault="000E7ECB" w:rsidP="000E7ECB">
                              <w:r w:rsidRPr="000E7ECB">
                                <w:t xml:space="preserve">Read more: </w:t>
                              </w:r>
                              <w:hyperlink r:id="rId7" w:history="1">
                                <w:r w:rsidRPr="000E7ECB">
                                  <w:rPr>
                                    <w:rStyle w:val="Hyperlink"/>
                                  </w:rPr>
                                  <w:t>Future of local government in Sussex</w:t>
                                </w:r>
                              </w:hyperlink>
                            </w:p>
                            <w:p w14:paraId="3958A6F8" w14:textId="77777777" w:rsidR="000E7ECB" w:rsidRPr="000E7ECB" w:rsidRDefault="000E7ECB" w:rsidP="000E7ECB"/>
                            <w:p w14:paraId="190A4DBD" w14:textId="0CC2E1B9" w:rsidR="000E7ECB" w:rsidRPr="000E7ECB" w:rsidRDefault="000E7ECB" w:rsidP="000E7ECB">
                              <w:r w:rsidRPr="000E7ECB">
                                <w:rPr>
                                  <w:b/>
                                  <w:bCs/>
                                </w:rPr>
                                <w:t xml:space="preserve">For further information please contact the news desk on 0330 222 8090 or email </w:t>
                              </w:r>
                              <w:hyperlink r:id="rId8" w:history="1">
                                <w:r w:rsidRPr="000E7ECB">
                                  <w:rPr>
                                    <w:rStyle w:val="Hyperlink"/>
                                    <w:b/>
                                    <w:bCs/>
                                  </w:rPr>
                                  <w:t>pressoffice@westsussex.gov.uk</w:t>
                                </w:r>
                              </w:hyperlink>
                              <w:r w:rsidRPr="000E7ECB">
                                <w:rPr>
                                  <w:b/>
                                  <w:bCs/>
                                </w:rPr>
                                <w:t xml:space="preserve">. </w:t>
                              </w:r>
                              <w:r w:rsidRPr="000E7ECB">
                                <w:rPr>
                                  <w:b/>
                                  <w:bCs/>
                                </w:rPr>
                                <w:br/>
                              </w:r>
                              <w:r w:rsidRPr="000E7ECB">
                                <w:rPr>
                                  <w:b/>
                                  <w:bCs/>
                                </w:rPr>
                                <w:br/>
                                <w:t xml:space="preserve">For urgent out-of-hours enquiries please call 07767 098415. </w:t>
                              </w:r>
                              <w:r w:rsidRPr="000E7ECB">
                                <w:br/>
                              </w:r>
                              <w:r w:rsidRPr="000E7ECB">
                                <w:br/>
                              </w:r>
                              <w:r w:rsidRPr="000E7ECB">
                                <w:drawing>
                                  <wp:inline distT="0" distB="0" distL="0" distR="0" wp14:anchorId="6D8C4ABD" wp14:editId="6C8D88B8">
                                    <wp:extent cx="609600" cy="594360"/>
                                    <wp:effectExtent l="0" t="0" r="0" b="0"/>
                                    <wp:docPr id="68007775" name="Picture 5" descr="Faceboo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aceboo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594360"/>
                                            </a:xfrm>
                                            <a:prstGeom prst="rect">
                                              <a:avLst/>
                                            </a:prstGeom>
                                            <a:noFill/>
                                            <a:ln>
                                              <a:noFill/>
                                            </a:ln>
                                          </pic:spPr>
                                        </pic:pic>
                                      </a:graphicData>
                                    </a:graphic>
                                  </wp:inline>
                                </w:drawing>
                              </w:r>
                              <w:r w:rsidRPr="000E7ECB">
                                <w:t> </w:t>
                              </w:r>
                              <w:r w:rsidRPr="000E7ECB">
                                <w:t xml:space="preserve"> </w:t>
                              </w:r>
                              <w:r w:rsidRPr="000E7ECB">
                                <w:drawing>
                                  <wp:inline distT="0" distB="0" distL="0" distR="0" wp14:anchorId="3A1C225B" wp14:editId="1A496AD7">
                                    <wp:extent cx="609600" cy="601980"/>
                                    <wp:effectExtent l="0" t="0" r="0" b="7620"/>
                                    <wp:docPr id="1092029506" name="Picture 4" descr="Twitt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wit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601980"/>
                                            </a:xfrm>
                                            <a:prstGeom prst="rect">
                                              <a:avLst/>
                                            </a:prstGeom>
                                            <a:noFill/>
                                            <a:ln>
                                              <a:noFill/>
                                            </a:ln>
                                          </pic:spPr>
                                        </pic:pic>
                                      </a:graphicData>
                                    </a:graphic>
                                  </wp:inline>
                                </w:drawing>
                              </w:r>
                            </w:p>
                          </w:tc>
                        </w:tr>
                      </w:tbl>
                      <w:p w14:paraId="4A562AA6" w14:textId="77777777" w:rsidR="000E7ECB" w:rsidRPr="000E7ECB" w:rsidRDefault="000E7ECB" w:rsidP="000E7ECB"/>
                    </w:tc>
                  </w:tr>
                </w:tbl>
                <w:p w14:paraId="62E93F27" w14:textId="77777777" w:rsidR="000E7ECB" w:rsidRPr="000E7ECB" w:rsidRDefault="000E7ECB" w:rsidP="000E7ECB">
                  <w:pPr>
                    <w:rPr>
                      <w:vanish/>
                    </w:rPr>
                  </w:pPr>
                </w:p>
                <w:tbl>
                  <w:tblPr>
                    <w:tblW w:w="9000" w:type="dxa"/>
                    <w:tblCellSpacing w:w="0" w:type="dxa"/>
                    <w:tblCellMar>
                      <w:top w:w="240" w:type="dxa"/>
                      <w:left w:w="240" w:type="dxa"/>
                      <w:bottom w:w="240" w:type="dxa"/>
                      <w:right w:w="240" w:type="dxa"/>
                    </w:tblCellMar>
                    <w:tblLook w:val="04A0" w:firstRow="1" w:lastRow="0" w:firstColumn="1" w:lastColumn="0" w:noHBand="0" w:noVBand="1"/>
                  </w:tblPr>
                  <w:tblGrid>
                    <w:gridCol w:w="9000"/>
                  </w:tblGrid>
                  <w:tr w:rsidR="000E7ECB" w:rsidRPr="000E7ECB" w14:paraId="19082FF0" w14:textId="77777777">
                    <w:trPr>
                      <w:tblCellSpacing w:w="0" w:type="dxa"/>
                    </w:trPr>
                    <w:tc>
                      <w:tcPr>
                        <w:tcW w:w="0" w:type="auto"/>
                        <w:vAlign w:val="center"/>
                        <w:hideMark/>
                      </w:tcPr>
                      <w:p w14:paraId="2928B082" w14:textId="058072B1" w:rsidR="000E7ECB" w:rsidRPr="000E7ECB" w:rsidRDefault="000E7ECB" w:rsidP="000E7ECB"/>
                    </w:tc>
                  </w:tr>
                </w:tbl>
                <w:p w14:paraId="6A23D351" w14:textId="77777777" w:rsidR="000E7ECB" w:rsidRPr="000E7ECB" w:rsidRDefault="000E7ECB" w:rsidP="000E7ECB"/>
              </w:tc>
            </w:tr>
          </w:tbl>
          <w:p w14:paraId="603E83C0" w14:textId="77777777" w:rsidR="000E7ECB" w:rsidRPr="000E7ECB" w:rsidRDefault="000E7ECB" w:rsidP="000E7ECB"/>
        </w:tc>
      </w:tr>
    </w:tbl>
    <w:p w14:paraId="22D160FD" w14:textId="77777777" w:rsidR="00B93805" w:rsidRDefault="00B93805"/>
    <w:sectPr w:rsidR="00B93805" w:rsidSect="000E7E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32605E"/>
    <w:multiLevelType w:val="multilevel"/>
    <w:tmpl w:val="81A40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6218043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ECB"/>
    <w:rsid w:val="000E7ECB"/>
    <w:rsid w:val="002801E8"/>
    <w:rsid w:val="004617E4"/>
    <w:rsid w:val="006A3332"/>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F5E22"/>
  <w15:chartTrackingRefBased/>
  <w15:docId w15:val="{0DBB5E82-EFD4-461C-98DF-5C90E177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7E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7E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7E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7E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7E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7E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7E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7E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7E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E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7E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7E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7E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7E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7E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7E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7E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7ECB"/>
    <w:rPr>
      <w:rFonts w:eastAsiaTheme="majorEastAsia" w:cstheme="majorBidi"/>
      <w:color w:val="272727" w:themeColor="text1" w:themeTint="D8"/>
    </w:rPr>
  </w:style>
  <w:style w:type="paragraph" w:styleId="Title">
    <w:name w:val="Title"/>
    <w:basedOn w:val="Normal"/>
    <w:next w:val="Normal"/>
    <w:link w:val="TitleChar"/>
    <w:uiPriority w:val="10"/>
    <w:qFormat/>
    <w:rsid w:val="000E7E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7E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7E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7E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7ECB"/>
    <w:pPr>
      <w:spacing w:before="160"/>
      <w:jc w:val="center"/>
    </w:pPr>
    <w:rPr>
      <w:i/>
      <w:iCs/>
      <w:color w:val="404040" w:themeColor="text1" w:themeTint="BF"/>
    </w:rPr>
  </w:style>
  <w:style w:type="character" w:customStyle="1" w:styleId="QuoteChar">
    <w:name w:val="Quote Char"/>
    <w:basedOn w:val="DefaultParagraphFont"/>
    <w:link w:val="Quote"/>
    <w:uiPriority w:val="29"/>
    <w:rsid w:val="000E7ECB"/>
    <w:rPr>
      <w:i/>
      <w:iCs/>
      <w:color w:val="404040" w:themeColor="text1" w:themeTint="BF"/>
    </w:rPr>
  </w:style>
  <w:style w:type="paragraph" w:styleId="ListParagraph">
    <w:name w:val="List Paragraph"/>
    <w:basedOn w:val="Normal"/>
    <w:uiPriority w:val="34"/>
    <w:qFormat/>
    <w:rsid w:val="000E7ECB"/>
    <w:pPr>
      <w:ind w:left="720"/>
      <w:contextualSpacing/>
    </w:pPr>
  </w:style>
  <w:style w:type="character" w:styleId="IntenseEmphasis">
    <w:name w:val="Intense Emphasis"/>
    <w:basedOn w:val="DefaultParagraphFont"/>
    <w:uiPriority w:val="21"/>
    <w:qFormat/>
    <w:rsid w:val="000E7ECB"/>
    <w:rPr>
      <w:i/>
      <w:iCs/>
      <w:color w:val="0F4761" w:themeColor="accent1" w:themeShade="BF"/>
    </w:rPr>
  </w:style>
  <w:style w:type="paragraph" w:styleId="IntenseQuote">
    <w:name w:val="Intense Quote"/>
    <w:basedOn w:val="Normal"/>
    <w:next w:val="Normal"/>
    <w:link w:val="IntenseQuoteChar"/>
    <w:uiPriority w:val="30"/>
    <w:qFormat/>
    <w:rsid w:val="000E7E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7ECB"/>
    <w:rPr>
      <w:i/>
      <w:iCs/>
      <w:color w:val="0F4761" w:themeColor="accent1" w:themeShade="BF"/>
    </w:rPr>
  </w:style>
  <w:style w:type="character" w:styleId="IntenseReference">
    <w:name w:val="Intense Reference"/>
    <w:basedOn w:val="DefaultParagraphFont"/>
    <w:uiPriority w:val="32"/>
    <w:qFormat/>
    <w:rsid w:val="000E7ECB"/>
    <w:rPr>
      <w:b/>
      <w:bCs/>
      <w:smallCaps/>
      <w:color w:val="0F4761" w:themeColor="accent1" w:themeShade="BF"/>
      <w:spacing w:val="5"/>
    </w:rPr>
  </w:style>
  <w:style w:type="character" w:styleId="Hyperlink">
    <w:name w:val="Hyperlink"/>
    <w:basedOn w:val="DefaultParagraphFont"/>
    <w:uiPriority w:val="99"/>
    <w:unhideWhenUsed/>
    <w:rsid w:val="000E7ECB"/>
    <w:rPr>
      <w:color w:val="467886" w:themeColor="hyperlink"/>
      <w:u w:val="single"/>
    </w:rPr>
  </w:style>
  <w:style w:type="character" w:styleId="UnresolvedMention">
    <w:name w:val="Unresolved Mention"/>
    <w:basedOn w:val="DefaultParagraphFont"/>
    <w:uiPriority w:val="99"/>
    <w:semiHidden/>
    <w:unhideWhenUsed/>
    <w:rsid w:val="000E7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125240">
      <w:bodyDiv w:val="1"/>
      <w:marLeft w:val="0"/>
      <w:marRight w:val="0"/>
      <w:marTop w:val="0"/>
      <w:marBottom w:val="0"/>
      <w:divBdr>
        <w:top w:val="none" w:sz="0" w:space="0" w:color="auto"/>
        <w:left w:val="none" w:sz="0" w:space="0" w:color="auto"/>
        <w:bottom w:val="none" w:sz="0" w:space="0" w:color="auto"/>
        <w:right w:val="none" w:sz="0" w:space="0" w:color="auto"/>
      </w:divBdr>
    </w:div>
    <w:div w:id="135006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office@westsussex.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estsussex.gov.uk/campaigns/Future-of-local-government-in-Sussex"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stsussex.moderngov.co.uk/ieListDocuments.aspx?CId=136&amp;MId=3651" TargetMode="External"/><Relationship Id="rId11" Type="http://schemas.openxmlformats.org/officeDocument/2006/relationships/hyperlink" Target="https://twitter.com/WSCCNews" TargetMode="Externa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facebook.com/WestSussexC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631</Words>
  <Characters>3599</Characters>
  <Application>Microsoft Office Word</Application>
  <DocSecurity>0</DocSecurity>
  <Lines>29</Lines>
  <Paragraphs>8</Paragraphs>
  <ScaleCrop>false</ScaleCrop>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2025-03-20T16:34:00Z</dcterms:created>
  <dcterms:modified xsi:type="dcterms:W3CDTF">2025-03-20T16:35:00Z</dcterms:modified>
</cp:coreProperties>
</file>