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F939" w14:textId="00FE28C3" w:rsidR="00490E12" w:rsidRPr="00490E12" w:rsidRDefault="00490E12" w:rsidP="00490E12">
      <w:pPr>
        <w:jc w:val="both"/>
        <w:rPr>
          <w:rFonts w:asciiTheme="minorHAnsi" w:hAnsiTheme="minorHAnsi" w:cs="Arial"/>
          <w:b/>
          <w:sz w:val="32"/>
          <w:szCs w:val="32"/>
        </w:rPr>
      </w:pPr>
      <w:r w:rsidRPr="00490E12">
        <w:rPr>
          <w:rFonts w:asciiTheme="minorHAnsi" w:hAnsiTheme="minorHAnsi" w:cs="Arial"/>
          <w:b/>
          <w:sz w:val="32"/>
          <w:szCs w:val="32"/>
        </w:rPr>
        <w:drawing>
          <wp:inline distT="0" distB="0" distL="0" distR="0" wp14:anchorId="1295A350" wp14:editId="28DDAA78">
            <wp:extent cx="3329940" cy="1249680"/>
            <wp:effectExtent l="0" t="0" r="3810" b="7620"/>
            <wp:docPr id="823474744" name="Picture 2" descr="A logo with a bird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74744" name="Picture 2" descr="A logo with a bird fl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496D" w14:textId="77777777" w:rsidR="00490E12" w:rsidRDefault="00490E12" w:rsidP="00490E12">
      <w:pPr>
        <w:jc w:val="both"/>
        <w:rPr>
          <w:rFonts w:asciiTheme="minorHAnsi" w:hAnsiTheme="minorHAnsi" w:cs="Arial"/>
          <w:b/>
          <w:sz w:val="32"/>
          <w:szCs w:val="32"/>
        </w:rPr>
      </w:pPr>
    </w:p>
    <w:p w14:paraId="5E9327CC" w14:textId="77777777" w:rsidR="00490E12" w:rsidRDefault="00490E12" w:rsidP="00DD5B62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1676654" w14:textId="5DA6AEF7" w:rsidR="00DD5B62" w:rsidRPr="008E6FD7" w:rsidRDefault="00DD5B62" w:rsidP="00DD5B62">
      <w:pPr>
        <w:jc w:val="center"/>
        <w:rPr>
          <w:rFonts w:asciiTheme="minorHAnsi" w:hAnsiTheme="minorHAnsi" w:cs="Arial"/>
          <w:b/>
          <w:sz w:val="32"/>
          <w:szCs w:val="32"/>
        </w:rPr>
      </w:pPr>
      <w:proofErr w:type="spellStart"/>
      <w:r w:rsidRPr="008E6FD7">
        <w:rPr>
          <w:rFonts w:asciiTheme="minorHAnsi" w:hAnsiTheme="minorHAnsi" w:cs="Arial"/>
          <w:b/>
          <w:sz w:val="32"/>
          <w:szCs w:val="32"/>
        </w:rPr>
        <w:t>Sidlesham</w:t>
      </w:r>
      <w:proofErr w:type="spellEnd"/>
      <w:r w:rsidRPr="008E6FD7">
        <w:rPr>
          <w:rFonts w:asciiTheme="minorHAnsi" w:hAnsiTheme="minorHAnsi" w:cs="Arial"/>
          <w:b/>
          <w:sz w:val="32"/>
          <w:szCs w:val="32"/>
        </w:rPr>
        <w:t xml:space="preserve"> Parish Council </w:t>
      </w:r>
    </w:p>
    <w:p w14:paraId="66CD7702" w14:textId="77777777" w:rsidR="00DD5B62" w:rsidRPr="000F5DF5" w:rsidRDefault="00DD5B62" w:rsidP="00DD5B62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F5DF5">
        <w:rPr>
          <w:rFonts w:asciiTheme="minorHAnsi" w:hAnsiTheme="minorHAnsi" w:cs="Arial"/>
          <w:b/>
          <w:sz w:val="24"/>
          <w:szCs w:val="24"/>
        </w:rPr>
        <w:t>HEALTH AND SAFETY POLICY</w:t>
      </w:r>
    </w:p>
    <w:p w14:paraId="735B8767" w14:textId="77777777" w:rsidR="00DD5B62" w:rsidRPr="000F5DF5" w:rsidRDefault="00DD5B62" w:rsidP="00DD5B62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966680A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1064F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064F1"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Introduction and </w:t>
      </w:r>
      <w:r>
        <w:rPr>
          <w:rFonts w:asciiTheme="minorHAnsi" w:hAnsiTheme="minorHAnsi" w:cs="Arial"/>
          <w:b/>
          <w:sz w:val="24"/>
          <w:szCs w:val="24"/>
          <w:u w:val="single"/>
        </w:rPr>
        <w:t>D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uties</w:t>
      </w:r>
    </w:p>
    <w:p w14:paraId="08B21796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b/>
          <w:sz w:val="24"/>
          <w:szCs w:val="24"/>
        </w:rPr>
      </w:pPr>
    </w:p>
    <w:p w14:paraId="333F81B3" w14:textId="506E6B98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i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 xml:space="preserve">The Health and Safety at Work Act 1974 sets out the general duty of employers and states the main principle as </w:t>
      </w:r>
      <w:r w:rsidRPr="000F5DF5">
        <w:rPr>
          <w:rFonts w:asciiTheme="minorHAnsi" w:hAnsiTheme="minorHAnsi" w:cs="Arial"/>
          <w:i/>
          <w:sz w:val="24"/>
          <w:szCs w:val="24"/>
        </w:rPr>
        <w:t>‘it shall be the duty of every employer to ensure, as far as is reasonably practical, the health, safety and welfare at work of all its employees.’</w:t>
      </w:r>
    </w:p>
    <w:p w14:paraId="265F9050" w14:textId="77777777" w:rsidR="00DD5B62" w:rsidRPr="000F5DF5" w:rsidRDefault="00DD5B62" w:rsidP="00DD5B62">
      <w:pPr>
        <w:pStyle w:val="ListParagraph"/>
        <w:ind w:left="1440"/>
        <w:jc w:val="both"/>
        <w:rPr>
          <w:rFonts w:asciiTheme="minorHAnsi" w:hAnsiTheme="minorHAnsi" w:cs="Arial"/>
          <w:i/>
          <w:sz w:val="24"/>
          <w:szCs w:val="24"/>
        </w:rPr>
      </w:pPr>
    </w:p>
    <w:p w14:paraId="3B301033" w14:textId="52450213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Sidlesham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Parish C</w:t>
      </w:r>
      <w:r w:rsidRPr="000F5DF5">
        <w:rPr>
          <w:rFonts w:asciiTheme="minorHAnsi" w:hAnsiTheme="minorHAnsi" w:cs="Arial"/>
          <w:sz w:val="24"/>
          <w:szCs w:val="24"/>
        </w:rPr>
        <w:t xml:space="preserve">ouncil </w:t>
      </w:r>
      <w:r w:rsidR="00490E12">
        <w:rPr>
          <w:rFonts w:asciiTheme="minorHAnsi" w:hAnsiTheme="minorHAnsi" w:cs="Arial"/>
          <w:sz w:val="24"/>
          <w:szCs w:val="24"/>
        </w:rPr>
        <w:t xml:space="preserve">(SPC) </w:t>
      </w:r>
      <w:r w:rsidRPr="000F5DF5">
        <w:rPr>
          <w:rFonts w:asciiTheme="minorHAnsi" w:hAnsiTheme="minorHAnsi" w:cs="Arial"/>
          <w:sz w:val="24"/>
          <w:szCs w:val="24"/>
        </w:rPr>
        <w:t>recognises and accepts this responsibility, and for the health and safety of any other person who may be affected by its activities as far as is reasonably practical.</w:t>
      </w:r>
    </w:p>
    <w:p w14:paraId="3DEA44C7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5F5D4E5F" w14:textId="3851A887" w:rsidR="00DD5B62" w:rsidRPr="000F5DF5" w:rsidRDefault="00490E1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SPC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also recognises that every accident, however slight, is a matter for concern and will actively promote health and safety at all times.</w:t>
      </w:r>
    </w:p>
    <w:p w14:paraId="199488AD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724C197B" w14:textId="77777777" w:rsidR="00DD5B62" w:rsidRPr="00843678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Health and Safety at Work Act 1974 also sets out the duties of employees while at work.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43678">
        <w:rPr>
          <w:rFonts w:asciiTheme="minorHAnsi" w:hAnsiTheme="minorHAnsi" w:cs="Arial"/>
          <w:sz w:val="24"/>
          <w:szCs w:val="24"/>
        </w:rPr>
        <w:t xml:space="preserve">Employees have a duty </w:t>
      </w:r>
      <w:r w:rsidRPr="00843678">
        <w:rPr>
          <w:rFonts w:asciiTheme="minorHAnsi" w:hAnsiTheme="minorHAnsi" w:cs="Arial"/>
          <w:i/>
          <w:sz w:val="24"/>
          <w:szCs w:val="24"/>
        </w:rPr>
        <w:t>‘to take reasonable care for the health and safety of themselves and of other persons who may be affected by their acts or omissions at work.’</w:t>
      </w:r>
    </w:p>
    <w:p w14:paraId="6C7A6C35" w14:textId="77777777" w:rsidR="00DD5B62" w:rsidRPr="000F5DF5" w:rsidRDefault="00DD5B62" w:rsidP="00DD5B62">
      <w:pPr>
        <w:pStyle w:val="ListParagraph"/>
        <w:ind w:left="1080"/>
        <w:jc w:val="both"/>
        <w:rPr>
          <w:rFonts w:asciiTheme="minorHAnsi" w:hAnsiTheme="minorHAnsi" w:cs="Arial"/>
          <w:sz w:val="24"/>
          <w:szCs w:val="24"/>
        </w:rPr>
      </w:pPr>
    </w:p>
    <w:p w14:paraId="2F961614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Sensible </w:t>
      </w:r>
      <w:r>
        <w:rPr>
          <w:rFonts w:asciiTheme="minorHAnsi" w:hAnsiTheme="minorHAnsi" w:cs="Arial"/>
          <w:b/>
          <w:sz w:val="24"/>
          <w:szCs w:val="24"/>
          <w:u w:val="single"/>
        </w:rPr>
        <w:t>R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isk </w:t>
      </w:r>
      <w:r>
        <w:rPr>
          <w:rFonts w:asciiTheme="minorHAnsi" w:hAnsiTheme="minorHAnsi" w:cs="Arial"/>
          <w:b/>
          <w:sz w:val="24"/>
          <w:szCs w:val="24"/>
          <w:u w:val="single"/>
        </w:rPr>
        <w:t>M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anagement</w:t>
      </w:r>
    </w:p>
    <w:p w14:paraId="2BD9DB9A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FCA70B8" w14:textId="055D08C8" w:rsidR="00DD5B62" w:rsidRPr="000F5DF5" w:rsidRDefault="00490E1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SPC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will</w:t>
      </w:r>
      <w:r w:rsidR="00DD5B62">
        <w:rPr>
          <w:rFonts w:asciiTheme="minorHAnsi" w:hAnsiTheme="minorHAnsi" w:cs="Arial"/>
          <w:sz w:val="24"/>
          <w:szCs w:val="24"/>
        </w:rPr>
        <w:t xml:space="preserve"> implement a Health and Safety P</w:t>
      </w:r>
      <w:r w:rsidR="00DD5B62" w:rsidRPr="000F5DF5">
        <w:rPr>
          <w:rFonts w:asciiTheme="minorHAnsi" w:hAnsiTheme="minorHAnsi" w:cs="Arial"/>
          <w:sz w:val="24"/>
          <w:szCs w:val="24"/>
        </w:rPr>
        <w:t>olicy to fulfil its responsibilities, and adopt a sensible approach to risk management designed to:</w:t>
      </w:r>
    </w:p>
    <w:p w14:paraId="74533183" w14:textId="77777777" w:rsidR="00DD5B62" w:rsidRPr="000F5DF5" w:rsidRDefault="00DD5B62" w:rsidP="00DD5B62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Ensure</w:t>
      </w:r>
      <w:r>
        <w:rPr>
          <w:rFonts w:asciiTheme="minorHAnsi" w:hAnsiTheme="minorHAnsi" w:cs="Arial"/>
          <w:sz w:val="24"/>
          <w:szCs w:val="24"/>
        </w:rPr>
        <w:t xml:space="preserve"> employees</w:t>
      </w:r>
      <w:r w:rsidRPr="000F5DF5">
        <w:rPr>
          <w:rFonts w:asciiTheme="minorHAnsi" w:hAnsiTheme="minorHAnsi" w:cs="Arial"/>
          <w:sz w:val="24"/>
          <w:szCs w:val="24"/>
        </w:rPr>
        <w:t xml:space="preserve"> and the public are properly protected</w:t>
      </w:r>
    </w:p>
    <w:p w14:paraId="369F534B" w14:textId="77777777" w:rsidR="00DD5B62" w:rsidRPr="000F5DF5" w:rsidRDefault="00DD5B62" w:rsidP="00DD5B62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Ensure that risks that are created are managed responsibly</w:t>
      </w:r>
    </w:p>
    <w:p w14:paraId="194B42E2" w14:textId="77777777" w:rsidR="00DD5B62" w:rsidRPr="000F5DF5" w:rsidRDefault="00DD5B62" w:rsidP="00DD5B62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Ensure that precautions taken are appropriate to the perceived level of risk</w:t>
      </w:r>
    </w:p>
    <w:p w14:paraId="77519B62" w14:textId="77777777" w:rsidR="00DD5B62" w:rsidRPr="000F5DF5" w:rsidRDefault="00DD5B62" w:rsidP="00DD5B62">
      <w:pPr>
        <w:pStyle w:val="ListParagraph"/>
        <w:numPr>
          <w:ilvl w:val="0"/>
          <w:numId w:val="2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Establish an audit trail of risk assessment records</w:t>
      </w:r>
    </w:p>
    <w:p w14:paraId="10C30327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245CAF15" w14:textId="7A0DE79C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lastRenderedPageBreak/>
        <w:t xml:space="preserve">The sensible risk management approach will ensure </w:t>
      </w:r>
      <w:r w:rsidR="0074759E">
        <w:rPr>
          <w:rFonts w:asciiTheme="minorHAnsi" w:hAnsiTheme="minorHAnsi" w:cs="Arial"/>
          <w:sz w:val="24"/>
          <w:szCs w:val="24"/>
        </w:rPr>
        <w:t xml:space="preserve">SPC </w:t>
      </w:r>
      <w:r w:rsidRPr="000F5DF5">
        <w:rPr>
          <w:rFonts w:asciiTheme="minorHAnsi" w:hAnsiTheme="minorHAnsi" w:cs="Arial"/>
          <w:b/>
          <w:sz w:val="24"/>
          <w:szCs w:val="24"/>
        </w:rPr>
        <w:t>does not</w:t>
      </w:r>
      <w:r w:rsidRPr="000F5DF5">
        <w:rPr>
          <w:rFonts w:asciiTheme="minorHAnsi" w:hAnsiTheme="minorHAnsi" w:cs="Arial"/>
          <w:sz w:val="24"/>
          <w:szCs w:val="24"/>
        </w:rPr>
        <w:t>:</w:t>
      </w:r>
    </w:p>
    <w:p w14:paraId="12B59026" w14:textId="77777777" w:rsidR="00DD5B62" w:rsidRPr="000F5DF5" w:rsidRDefault="00DD5B62" w:rsidP="00DD5B62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Use ‘Health and Safety’ as a reason for preventing an activity</w:t>
      </w:r>
    </w:p>
    <w:p w14:paraId="5A67BB46" w14:textId="77777777" w:rsidR="00DD5B62" w:rsidRPr="000F5DF5" w:rsidRDefault="00DD5B62" w:rsidP="00DD5B62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Scare people by exaggerating risks or publicising trivial risks</w:t>
      </w:r>
    </w:p>
    <w:p w14:paraId="5888527B" w14:textId="77777777" w:rsidR="00DD5B62" w:rsidRPr="000F5DF5" w:rsidRDefault="00DD5B62" w:rsidP="00DD5B62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Create unrealistic demands prior to agreeing an activity</w:t>
      </w:r>
    </w:p>
    <w:p w14:paraId="00D121AA" w14:textId="77777777" w:rsidR="00DD5B62" w:rsidRPr="000F5DF5" w:rsidRDefault="00DD5B62" w:rsidP="00DD5B62">
      <w:pPr>
        <w:pStyle w:val="ListParagraph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7205163A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Risk </w:t>
      </w:r>
      <w:r>
        <w:rPr>
          <w:rFonts w:asciiTheme="minorHAnsi" w:hAnsiTheme="minorHAnsi" w:cs="Arial"/>
          <w:b/>
          <w:sz w:val="24"/>
          <w:szCs w:val="24"/>
          <w:u w:val="single"/>
        </w:rPr>
        <w:t>A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ssessments</w:t>
      </w:r>
    </w:p>
    <w:p w14:paraId="48329400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7649CCA" w14:textId="77777777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Management of Health and Safety at Work Regulations 1999 require employers to carry out risk assessments.</w:t>
      </w:r>
    </w:p>
    <w:p w14:paraId="49DFD496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668EE50F" w14:textId="39DCB2C0" w:rsidR="00DD5B62" w:rsidRPr="0074759E" w:rsidRDefault="00DD5B62" w:rsidP="0074759E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A risk assessment should be a practical exercise examining what, in your work, could cause harm to people, and putting in place controls to minimise the identified risks.</w:t>
      </w:r>
    </w:p>
    <w:p w14:paraId="12F6505C" w14:textId="77777777" w:rsidR="00DD5B62" w:rsidRPr="00AE29D2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0E75A015" w14:textId="77777777" w:rsidR="00DD5B62" w:rsidRPr="00AE29D2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Health and Safety E</w:t>
      </w:r>
      <w:r w:rsidRPr="00AE29D2">
        <w:rPr>
          <w:rFonts w:asciiTheme="minorHAnsi" w:hAnsiTheme="minorHAnsi" w:cs="Arial"/>
          <w:sz w:val="24"/>
          <w:szCs w:val="24"/>
        </w:rPr>
        <w:t>xecutive (HSE) promote a risk assessment process which follows the five following steps:</w:t>
      </w:r>
    </w:p>
    <w:p w14:paraId="518B041E" w14:textId="77777777" w:rsidR="00DD5B62" w:rsidRPr="000F5DF5" w:rsidRDefault="00DD5B62" w:rsidP="00DD5B62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Identify the hazards</w:t>
      </w:r>
    </w:p>
    <w:p w14:paraId="5D29DF78" w14:textId="77777777" w:rsidR="00DD5B62" w:rsidRPr="000F5DF5" w:rsidRDefault="00DD5B62" w:rsidP="00DD5B62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Decide who might be harmed and how</w:t>
      </w:r>
    </w:p>
    <w:p w14:paraId="2A6EE001" w14:textId="77777777" w:rsidR="00DD5B62" w:rsidRPr="000F5DF5" w:rsidRDefault="00DD5B62" w:rsidP="00DD5B62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Evaluate the risks and decide on precautions</w:t>
      </w:r>
    </w:p>
    <w:p w14:paraId="7A943EEE" w14:textId="77777777" w:rsidR="00DD5B62" w:rsidRPr="000F5DF5" w:rsidRDefault="00DD5B62" w:rsidP="00DD5B62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Record the findings and implement them</w:t>
      </w:r>
    </w:p>
    <w:p w14:paraId="243F35FC" w14:textId="77777777" w:rsidR="00DD5B62" w:rsidRPr="000F5DF5" w:rsidRDefault="00DD5B62" w:rsidP="00DD5B62">
      <w:pPr>
        <w:pStyle w:val="ListParagraph"/>
        <w:numPr>
          <w:ilvl w:val="0"/>
          <w:numId w:val="4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Review the risk assessment and update if necessary</w:t>
      </w:r>
    </w:p>
    <w:p w14:paraId="2806D266" w14:textId="77777777" w:rsidR="00DD5B62" w:rsidRPr="00AF3832" w:rsidRDefault="00DD5B62" w:rsidP="00DD5B62">
      <w:pPr>
        <w:jc w:val="both"/>
        <w:rPr>
          <w:rFonts w:asciiTheme="minorHAnsi" w:hAnsiTheme="minorHAnsi" w:cs="Arial"/>
          <w:sz w:val="24"/>
          <w:szCs w:val="24"/>
        </w:rPr>
      </w:pPr>
    </w:p>
    <w:p w14:paraId="28C26255" w14:textId="39C07065" w:rsidR="00DD5B62" w:rsidRDefault="0074759E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SPC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will conduct risk assessments for any event it holds and report the findings to </w:t>
      </w:r>
      <w:r>
        <w:rPr>
          <w:rFonts w:asciiTheme="minorHAnsi" w:hAnsiTheme="minorHAnsi" w:cs="Arial"/>
          <w:sz w:val="24"/>
          <w:szCs w:val="24"/>
        </w:rPr>
        <w:t>SPC</w:t>
      </w:r>
      <w:r w:rsidR="00DD5B62">
        <w:rPr>
          <w:rFonts w:asciiTheme="minorHAnsi" w:hAnsiTheme="minorHAnsi" w:cs="Arial"/>
          <w:sz w:val="24"/>
          <w:szCs w:val="24"/>
        </w:rPr>
        <w:t>.</w:t>
      </w:r>
    </w:p>
    <w:p w14:paraId="44431119" w14:textId="77777777" w:rsidR="00DD5B62" w:rsidRPr="00AF3832" w:rsidRDefault="00DD5B62" w:rsidP="00DD5B62">
      <w:pPr>
        <w:pStyle w:val="ListParagraph"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5BF3CB17" w14:textId="2FE5A8E7" w:rsidR="00DD5B62" w:rsidRPr="000F5DF5" w:rsidRDefault="0074759E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will conduct regular, risk assessments of its playground equipment and report the findings to </w:t>
      </w:r>
      <w:r>
        <w:rPr>
          <w:rFonts w:asciiTheme="minorHAnsi" w:hAnsiTheme="minorHAnsi" w:cs="Arial"/>
          <w:sz w:val="24"/>
          <w:szCs w:val="24"/>
        </w:rPr>
        <w:t>SPC</w:t>
      </w:r>
      <w:r w:rsidR="00DD5B62">
        <w:rPr>
          <w:rFonts w:asciiTheme="minorHAnsi" w:hAnsiTheme="minorHAnsi" w:cs="Arial"/>
          <w:sz w:val="24"/>
          <w:szCs w:val="24"/>
        </w:rPr>
        <w:t>.</w:t>
      </w:r>
    </w:p>
    <w:p w14:paraId="32C3177C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0168B9A1" w14:textId="77777777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 xml:space="preserve">A full record of all risk assessments will be kept </w:t>
      </w:r>
      <w:r>
        <w:rPr>
          <w:rFonts w:asciiTheme="minorHAnsi" w:hAnsiTheme="minorHAnsi" w:cs="Arial"/>
          <w:sz w:val="24"/>
          <w:szCs w:val="24"/>
        </w:rPr>
        <w:t>with the Clerk</w:t>
      </w:r>
      <w:r w:rsidRPr="000F5DF5">
        <w:rPr>
          <w:rFonts w:asciiTheme="minorHAnsi" w:hAnsiTheme="minorHAnsi" w:cs="Arial"/>
          <w:sz w:val="24"/>
          <w:szCs w:val="24"/>
        </w:rPr>
        <w:t>, including details of any remedial action taken.</w:t>
      </w:r>
    </w:p>
    <w:p w14:paraId="29A61734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63D4E4D4" w14:textId="77777777" w:rsidR="00DD5B62" w:rsidRPr="000F5DF5" w:rsidRDefault="00DD5B62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 xml:space="preserve">A written record of any accidents, injuries or incidents will be retained </w:t>
      </w:r>
      <w:r>
        <w:rPr>
          <w:rFonts w:asciiTheme="minorHAnsi" w:hAnsiTheme="minorHAnsi" w:cs="Arial"/>
          <w:sz w:val="24"/>
          <w:szCs w:val="24"/>
        </w:rPr>
        <w:t>by the Clerk</w:t>
      </w:r>
      <w:r w:rsidRPr="000F5DF5">
        <w:rPr>
          <w:rFonts w:asciiTheme="minorHAnsi" w:hAnsiTheme="minorHAnsi" w:cs="Arial"/>
          <w:sz w:val="24"/>
          <w:szCs w:val="24"/>
        </w:rPr>
        <w:t xml:space="preserve"> and referred to when completing any risk assessment.</w:t>
      </w:r>
    </w:p>
    <w:p w14:paraId="795B9488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495E2323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Introduction and </w:t>
      </w:r>
      <w:r>
        <w:rPr>
          <w:rFonts w:asciiTheme="minorHAnsi" w:hAnsiTheme="minorHAnsi" w:cs="Arial"/>
          <w:b/>
          <w:sz w:val="24"/>
          <w:szCs w:val="24"/>
          <w:u w:val="single"/>
        </w:rPr>
        <w:t>D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uties</w:t>
      </w:r>
    </w:p>
    <w:p w14:paraId="3B76C7C3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56DA59B5" w14:textId="2DAF89A2" w:rsidR="00DD5B62" w:rsidRPr="000F5DF5" w:rsidRDefault="0074759E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>will ensure all employees are trained in the use of any work items provided to them to fulfil their duties.</w:t>
      </w:r>
    </w:p>
    <w:p w14:paraId="11B054BD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34AFA449" w14:textId="16A6E8ED" w:rsidR="00DD5B62" w:rsidRPr="000F5DF5" w:rsidRDefault="0074759E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will actively involve </w:t>
      </w:r>
      <w:r w:rsidR="00DD5B62">
        <w:rPr>
          <w:rFonts w:asciiTheme="minorHAnsi" w:hAnsiTheme="minorHAnsi" w:cs="Arial"/>
          <w:sz w:val="24"/>
          <w:szCs w:val="24"/>
        </w:rPr>
        <w:t>employees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in completion of risk assessments connected to their respective roles and encourage </w:t>
      </w:r>
      <w:r w:rsidR="00DD5B62">
        <w:rPr>
          <w:rFonts w:asciiTheme="minorHAnsi" w:hAnsiTheme="minorHAnsi" w:cs="Arial"/>
          <w:sz w:val="24"/>
          <w:szCs w:val="24"/>
        </w:rPr>
        <w:t>employees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to raise any health and safety concerns they have with the</w:t>
      </w:r>
      <w:r w:rsidR="00DD5B62">
        <w:rPr>
          <w:rFonts w:asciiTheme="minorHAnsi" w:hAnsiTheme="minorHAnsi" w:cs="Arial"/>
          <w:sz w:val="24"/>
          <w:szCs w:val="24"/>
        </w:rPr>
        <w:t>m</w:t>
      </w:r>
      <w:r w:rsidR="00DD5B62" w:rsidRPr="000F5DF5">
        <w:rPr>
          <w:rFonts w:asciiTheme="minorHAnsi" w:hAnsiTheme="minorHAnsi" w:cs="Arial"/>
          <w:sz w:val="24"/>
          <w:szCs w:val="24"/>
        </w:rPr>
        <w:t>.</w:t>
      </w:r>
    </w:p>
    <w:p w14:paraId="513E6540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61BF3532" w14:textId="230312BC" w:rsidR="00DD5B62" w:rsidRPr="000F5DF5" w:rsidRDefault="0074759E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SPC</w:t>
      </w:r>
      <w:r w:rsidR="00DD5B62" w:rsidRPr="000F5DF5">
        <w:rPr>
          <w:rFonts w:asciiTheme="minorHAnsi" w:hAnsiTheme="minorHAnsi" w:cs="Arial"/>
          <w:sz w:val="24"/>
          <w:szCs w:val="24"/>
        </w:rPr>
        <w:t xml:space="preserve"> recognise its obligations to consult with its employees as detailed in the Health and Safety (Consultation with Employees) Regulations 1996 and the Safety Representatives and Safety Committee Regulations 1977.</w:t>
      </w:r>
    </w:p>
    <w:p w14:paraId="7F689D0C" w14:textId="77777777" w:rsidR="00DD5B62" w:rsidRPr="000F5DF5" w:rsidRDefault="00DD5B62" w:rsidP="00DD5B62">
      <w:pPr>
        <w:pStyle w:val="ListParagraph"/>
        <w:ind w:left="0"/>
        <w:jc w:val="both"/>
        <w:rPr>
          <w:rFonts w:asciiTheme="minorHAnsi" w:hAnsiTheme="minorHAnsi" w:cs="Arial"/>
          <w:sz w:val="24"/>
          <w:szCs w:val="24"/>
        </w:rPr>
      </w:pPr>
    </w:p>
    <w:p w14:paraId="6B5DC60D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 xml:space="preserve">Other </w:t>
      </w:r>
      <w:r>
        <w:rPr>
          <w:rFonts w:asciiTheme="minorHAnsi" w:hAnsiTheme="minorHAnsi" w:cs="Arial"/>
          <w:b/>
          <w:sz w:val="24"/>
          <w:szCs w:val="24"/>
          <w:u w:val="single"/>
        </w:rPr>
        <w:t>L</w:t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egislation</w:t>
      </w:r>
    </w:p>
    <w:p w14:paraId="0783C1C2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64ACEBA4" w14:textId="4011BBBE" w:rsidR="00DD5B62" w:rsidRPr="000F5DF5" w:rsidRDefault="00C639B3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>will be mindful of other legislation which may affect its responsibilities for Health and Safety and take these into account when assessing risks, in particular:</w:t>
      </w:r>
    </w:p>
    <w:p w14:paraId="58D8ED4F" w14:textId="77777777" w:rsidR="00DD5B62" w:rsidRPr="000F5DF5" w:rsidRDefault="00DD5B62" w:rsidP="00DD5B62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Workplace (Health, Safety and Welfare) Regulations 1992</w:t>
      </w:r>
    </w:p>
    <w:p w14:paraId="1514DDC6" w14:textId="77777777" w:rsidR="00DD5B62" w:rsidRPr="000F5DF5" w:rsidRDefault="00DD5B62" w:rsidP="00DD5B62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Personal Protective Equipment at Work Regulations 1992</w:t>
      </w:r>
    </w:p>
    <w:p w14:paraId="5C8CA1E3" w14:textId="77777777" w:rsidR="00DD5B62" w:rsidRPr="000F5DF5" w:rsidRDefault="00DD5B62" w:rsidP="00DD5B62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Manual Handling Operations Regulations 1992</w:t>
      </w:r>
    </w:p>
    <w:p w14:paraId="1A2B5AB5" w14:textId="77777777" w:rsidR="00DD5B62" w:rsidRPr="000F5DF5" w:rsidRDefault="00DD5B62" w:rsidP="00DD5B62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Health and Safety (Display Screen Equipment) Regulations 1992</w:t>
      </w:r>
    </w:p>
    <w:p w14:paraId="0C43920C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174683FE" w14:textId="4146AADA" w:rsidR="00DD5B62" w:rsidRPr="000F5DF5" w:rsidRDefault="00C639B3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>is also aware of other legislation which could affect its future responsibilities for health and safety, in particular:</w:t>
      </w:r>
    </w:p>
    <w:p w14:paraId="07427281" w14:textId="77777777" w:rsidR="00DD5B62" w:rsidRPr="000F5DF5" w:rsidRDefault="00DD5B62" w:rsidP="00DD5B62">
      <w:pPr>
        <w:pStyle w:val="ListParagraph"/>
        <w:numPr>
          <w:ilvl w:val="0"/>
          <w:numId w:val="7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Health and Safety (First Aid) Regulations 1981</w:t>
      </w:r>
    </w:p>
    <w:p w14:paraId="1B2F806E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Electricity at Work Regulations 1989</w:t>
      </w:r>
    </w:p>
    <w:p w14:paraId="085EACF8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Confined Spaces Regulations 1997</w:t>
      </w:r>
    </w:p>
    <w:p w14:paraId="331E51A1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Provision and Use of Work Equipment Regulations 1998</w:t>
      </w:r>
    </w:p>
    <w:p w14:paraId="2D2E556C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Lifting Operations and Lifting Equipment Regulations 1998</w:t>
      </w:r>
    </w:p>
    <w:p w14:paraId="658FD218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Control of Substances Hazardous to Health Regulations 2002 (COSHH)</w:t>
      </w:r>
    </w:p>
    <w:p w14:paraId="597BD5F5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Work at Height Regulations 2005</w:t>
      </w:r>
    </w:p>
    <w:p w14:paraId="7ECBFFC7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Regulatory Reform (Fire Safety) Order 2005</w:t>
      </w:r>
    </w:p>
    <w:p w14:paraId="73206515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 xml:space="preserve">The Control of Asbestos Regulations 2012 </w:t>
      </w:r>
    </w:p>
    <w:p w14:paraId="3CD2D722" w14:textId="77777777" w:rsidR="00DD5B62" w:rsidRPr="000F5DF5" w:rsidRDefault="00DD5B62" w:rsidP="00DD5B62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 w:rsidRPr="000F5DF5">
        <w:rPr>
          <w:rFonts w:asciiTheme="minorHAnsi" w:hAnsiTheme="minorHAnsi" w:cs="Arial"/>
          <w:sz w:val="24"/>
          <w:szCs w:val="24"/>
        </w:rPr>
        <w:t>The Reporting of Injuries, Disease and Dangerous Occurrences Regulations 2013 (RIDDOR)</w:t>
      </w:r>
    </w:p>
    <w:p w14:paraId="7F93FA9B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6B02028B" w14:textId="77777777" w:rsidR="00DD5B62" w:rsidRPr="000F5DF5" w:rsidRDefault="00DD5B62" w:rsidP="00DD5B62">
      <w:pPr>
        <w:pStyle w:val="ListParagraph"/>
        <w:numPr>
          <w:ilvl w:val="0"/>
          <w:numId w:val="1"/>
        </w:numPr>
        <w:spacing w:after="20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0F5DF5">
        <w:rPr>
          <w:rFonts w:asciiTheme="minorHAnsi" w:hAnsiTheme="minorHAnsi" w:cs="Arial"/>
          <w:b/>
          <w:sz w:val="24"/>
          <w:szCs w:val="24"/>
          <w:u w:val="single"/>
        </w:rPr>
        <w:t>Insurance</w:t>
      </w:r>
    </w:p>
    <w:p w14:paraId="4728809D" w14:textId="77777777" w:rsidR="00DD5B62" w:rsidRPr="000F5DF5" w:rsidRDefault="00DD5B62" w:rsidP="00DD5B62">
      <w:pPr>
        <w:pStyle w:val="ListParagraph"/>
        <w:jc w:val="both"/>
        <w:rPr>
          <w:rFonts w:asciiTheme="minorHAnsi" w:hAnsiTheme="minorHAnsi" w:cs="Arial"/>
          <w:sz w:val="24"/>
          <w:szCs w:val="24"/>
        </w:rPr>
      </w:pPr>
    </w:p>
    <w:p w14:paraId="77DAD316" w14:textId="22806B0B" w:rsidR="00DD5B62" w:rsidRDefault="00C639B3" w:rsidP="00DD5B62">
      <w:pPr>
        <w:pStyle w:val="ListParagraph"/>
        <w:numPr>
          <w:ilvl w:val="1"/>
          <w:numId w:val="1"/>
        </w:numPr>
        <w:spacing w:after="2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SPC </w:t>
      </w:r>
      <w:r w:rsidR="00DD5B62" w:rsidRPr="000F5DF5">
        <w:rPr>
          <w:rFonts w:asciiTheme="minorHAnsi" w:hAnsiTheme="minorHAnsi" w:cs="Arial"/>
          <w:sz w:val="24"/>
          <w:szCs w:val="24"/>
        </w:rPr>
        <w:t>will meet its legal obligations to insure against liability or disease to their employees arising out of their employment under the provisions of the Employers’ Liability (Compulsory Insurance) Act 1969.</w:t>
      </w:r>
    </w:p>
    <w:p w14:paraId="3E192CDC" w14:textId="77777777" w:rsidR="00DD5B62" w:rsidRPr="00DD5B62" w:rsidRDefault="00DD5B62" w:rsidP="00DD5B62">
      <w:pPr>
        <w:spacing w:after="200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50FC4C54" w14:textId="5BBC2541" w:rsidR="00B93805" w:rsidRDefault="00DD5B62">
      <w:r>
        <w:lastRenderedPageBreak/>
        <w:t>Adopted on:</w:t>
      </w:r>
    </w:p>
    <w:p w14:paraId="57E38380" w14:textId="77777777" w:rsidR="00DD5B62" w:rsidRDefault="00DD5B62"/>
    <w:p w14:paraId="323B4124" w14:textId="302E58E8" w:rsidR="00DD5B62" w:rsidRDefault="00DD5B62" w:rsidP="00DD5B62">
      <w:r>
        <w:t xml:space="preserve">Review Due: </w:t>
      </w:r>
    </w:p>
    <w:sectPr w:rsidR="00DD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89"/>
    <w:multiLevelType w:val="hybridMultilevel"/>
    <w:tmpl w:val="49B622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1672"/>
    <w:multiLevelType w:val="hybridMultilevel"/>
    <w:tmpl w:val="A912B2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150A69"/>
    <w:multiLevelType w:val="hybridMultilevel"/>
    <w:tmpl w:val="409AA8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B970119"/>
    <w:multiLevelType w:val="hybridMultilevel"/>
    <w:tmpl w:val="357C33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22915B5"/>
    <w:multiLevelType w:val="hybridMultilevel"/>
    <w:tmpl w:val="FCAC13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3746DC"/>
    <w:multiLevelType w:val="hybridMultilevel"/>
    <w:tmpl w:val="342041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38200C"/>
    <w:multiLevelType w:val="multilevel"/>
    <w:tmpl w:val="E3E80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num w:numId="1" w16cid:durableId="832262380">
    <w:abstractNumId w:val="6"/>
  </w:num>
  <w:num w:numId="2" w16cid:durableId="3634994">
    <w:abstractNumId w:val="3"/>
  </w:num>
  <w:num w:numId="3" w16cid:durableId="2127236029">
    <w:abstractNumId w:val="4"/>
  </w:num>
  <w:num w:numId="4" w16cid:durableId="228813254">
    <w:abstractNumId w:val="5"/>
  </w:num>
  <w:num w:numId="5" w16cid:durableId="1498110708">
    <w:abstractNumId w:val="0"/>
  </w:num>
  <w:num w:numId="6" w16cid:durableId="1797798600">
    <w:abstractNumId w:val="2"/>
  </w:num>
  <w:num w:numId="7" w16cid:durableId="160684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62"/>
    <w:rsid w:val="004337CA"/>
    <w:rsid w:val="004617E4"/>
    <w:rsid w:val="00490E12"/>
    <w:rsid w:val="006A3332"/>
    <w:rsid w:val="0074759E"/>
    <w:rsid w:val="00B93805"/>
    <w:rsid w:val="00BD465A"/>
    <w:rsid w:val="00C639B3"/>
    <w:rsid w:val="00D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0574"/>
  <w15:chartTrackingRefBased/>
  <w15:docId w15:val="{636600EA-CD4B-42C6-AAAE-8D1D853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62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2024-08-22T13:21:00Z</dcterms:created>
  <dcterms:modified xsi:type="dcterms:W3CDTF">2024-09-05T10:38:00Z</dcterms:modified>
</cp:coreProperties>
</file>