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11250"/>
      </w:tblGrid>
      <w:tr w:rsidR="0090090D" w:rsidRPr="0090090D" w14:paraId="0A5FDBB7" w14:textId="77777777" w:rsidTr="0090090D">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1250"/>
            </w:tblGrid>
            <w:tr w:rsidR="0090090D" w:rsidRPr="0090090D" w14:paraId="7E4255CF" w14:textId="77777777">
              <w:trPr>
                <w:tblCellSpacing w:w="0" w:type="dxa"/>
              </w:trPr>
              <w:tc>
                <w:tcPr>
                  <w:tcW w:w="0" w:type="auto"/>
                  <w:vAlign w:val="center"/>
                  <w:hideMark/>
                </w:tcPr>
                <w:p w14:paraId="05A74D04" w14:textId="41A687F5" w:rsidR="0090090D" w:rsidRPr="0090090D" w:rsidRDefault="0090090D" w:rsidP="0090090D">
                  <w:r w:rsidRPr="0090090D">
                    <w:drawing>
                      <wp:inline distT="0" distB="0" distL="0" distR="0" wp14:anchorId="65D0B6D4" wp14:editId="67123C77">
                        <wp:extent cx="2095500" cy="1394460"/>
                        <wp:effectExtent l="0" t="0" r="0" b="0"/>
                        <wp:docPr id="1501652629"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394460"/>
                                </a:xfrm>
                                <a:prstGeom prst="rect">
                                  <a:avLst/>
                                </a:prstGeom>
                                <a:noFill/>
                                <a:ln>
                                  <a:noFill/>
                                </a:ln>
                              </pic:spPr>
                            </pic:pic>
                          </a:graphicData>
                        </a:graphic>
                      </wp:inline>
                    </w:drawing>
                  </w:r>
                </w:p>
              </w:tc>
            </w:tr>
          </w:tbl>
          <w:p w14:paraId="51E2F1B7" w14:textId="77777777" w:rsidR="0090090D" w:rsidRPr="0090090D" w:rsidRDefault="0090090D" w:rsidP="0090090D"/>
        </w:tc>
      </w:tr>
      <w:tr w:rsidR="0090090D" w:rsidRPr="0090090D" w14:paraId="66382168" w14:textId="77777777" w:rsidTr="0090090D">
        <w:trPr>
          <w:tblCellSpacing w:w="0" w:type="dxa"/>
          <w:jc w:val="center"/>
        </w:trPr>
        <w:tc>
          <w:tcPr>
            <w:tcW w:w="0" w:type="auto"/>
            <w:shd w:val="clear" w:color="auto" w:fill="FFFFFF"/>
            <w:vAlign w:val="center"/>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90090D" w:rsidRPr="0090090D" w14:paraId="3D7C0AD6" w14:textId="77777777">
              <w:trPr>
                <w:tblCellSpacing w:w="0" w:type="dxa"/>
              </w:trPr>
              <w:tc>
                <w:tcPr>
                  <w:tcW w:w="0" w:type="auto"/>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0890"/>
                  </w:tblGrid>
                  <w:tr w:rsidR="0090090D" w:rsidRPr="0090090D" w14:paraId="226FDE4A" w14:textId="77777777">
                    <w:trPr>
                      <w:tblCellSpacing w:w="0" w:type="dxa"/>
                    </w:trPr>
                    <w:tc>
                      <w:tcPr>
                        <w:tcW w:w="0" w:type="auto"/>
                        <w:vAlign w:val="center"/>
                      </w:tcPr>
                      <w:p w14:paraId="1A7CB3FB" w14:textId="77777777" w:rsidR="0090090D" w:rsidRPr="0090090D" w:rsidRDefault="0090090D" w:rsidP="0090090D">
                        <w:r w:rsidRPr="0090090D">
                          <w:rPr>
                            <w:b/>
                            <w:bCs/>
                          </w:rPr>
                          <w:t xml:space="preserve">news release </w:t>
                        </w:r>
                      </w:p>
                      <w:p w14:paraId="3D115603" w14:textId="77777777" w:rsidR="0090090D" w:rsidRPr="0090090D" w:rsidRDefault="0090090D" w:rsidP="0090090D">
                        <w:r w:rsidRPr="0090090D">
                          <w:rPr>
                            <w:b/>
                            <w:bCs/>
                          </w:rPr>
                          <w:t xml:space="preserve">21 August 2024 </w:t>
                        </w:r>
                      </w:p>
                      <w:p w14:paraId="5D1D82E9" w14:textId="77777777" w:rsidR="0090090D" w:rsidRPr="0090090D" w:rsidRDefault="0090090D" w:rsidP="0090090D"/>
                      <w:p w14:paraId="50340BF8" w14:textId="77777777" w:rsidR="0090090D" w:rsidRPr="0090090D" w:rsidRDefault="0090090D" w:rsidP="0090090D">
                        <w:r w:rsidRPr="0090090D">
                          <w:rPr>
                            <w:b/>
                            <w:bCs/>
                          </w:rPr>
                          <w:t xml:space="preserve">Adult Learning team hits the road with details of courses across West Sussex </w:t>
                        </w:r>
                      </w:p>
                      <w:p w14:paraId="77BC1570" w14:textId="77777777" w:rsidR="0090090D" w:rsidRPr="0090090D" w:rsidRDefault="0090090D" w:rsidP="0090090D"/>
                      <w:p w14:paraId="058F5C8E" w14:textId="77777777" w:rsidR="0090090D" w:rsidRPr="0090090D" w:rsidRDefault="0090090D" w:rsidP="0090090D">
                        <w:r w:rsidRPr="0090090D">
                          <w:t>A double-decker bus containing information about adult learning opportunities will be on the road next month.</w:t>
                        </w:r>
                      </w:p>
                      <w:p w14:paraId="67DE7898" w14:textId="77777777" w:rsidR="0090090D" w:rsidRPr="0090090D" w:rsidRDefault="0090090D" w:rsidP="0090090D">
                        <w:r w:rsidRPr="0090090D">
                          <w:t>Representatives from a variety of adult learning services will be on board West Sussex County Council’s Multiply Bus when it visits Crawley and Worthing.</w:t>
                        </w:r>
                      </w:p>
                      <w:p w14:paraId="5CC54438" w14:textId="77777777" w:rsidR="0090090D" w:rsidRPr="0090090D" w:rsidRDefault="0090090D" w:rsidP="0090090D">
                        <w:r w:rsidRPr="0090090D">
                          <w:t>This is an excellent chance for residents aged 19 and over to discover the diverse range of educational and skills-building programmes offered by West Sussex County Council, which include:</w:t>
                        </w:r>
                      </w:p>
                      <w:p w14:paraId="16D712DB" w14:textId="77777777" w:rsidR="0090090D" w:rsidRPr="0090090D" w:rsidRDefault="0090090D" w:rsidP="0090090D">
                        <w:pPr>
                          <w:numPr>
                            <w:ilvl w:val="0"/>
                            <w:numId w:val="1"/>
                          </w:numPr>
                        </w:pPr>
                        <w:r w:rsidRPr="0090090D">
                          <w:t>Programmes for Adults with Learning Disabilities (ALD)</w:t>
                        </w:r>
                      </w:p>
                      <w:p w14:paraId="53FB0E5C" w14:textId="77777777" w:rsidR="0090090D" w:rsidRPr="0090090D" w:rsidRDefault="0090090D" w:rsidP="0090090D">
                        <w:pPr>
                          <w:numPr>
                            <w:ilvl w:val="0"/>
                            <w:numId w:val="1"/>
                          </w:numPr>
                        </w:pPr>
                        <w:r w:rsidRPr="0090090D">
                          <w:t>English for Speakers of Other Languages (ESOL)</w:t>
                        </w:r>
                      </w:p>
                      <w:p w14:paraId="6162BF1B" w14:textId="77777777" w:rsidR="0090090D" w:rsidRPr="0090090D" w:rsidRDefault="0090090D" w:rsidP="0090090D">
                        <w:pPr>
                          <w:numPr>
                            <w:ilvl w:val="0"/>
                            <w:numId w:val="1"/>
                          </w:numPr>
                        </w:pPr>
                        <w:r w:rsidRPr="0090090D">
                          <w:t>English</w:t>
                        </w:r>
                      </w:p>
                      <w:p w14:paraId="244A46ED" w14:textId="77777777" w:rsidR="0090090D" w:rsidRPr="0090090D" w:rsidRDefault="0090090D" w:rsidP="0090090D">
                        <w:pPr>
                          <w:numPr>
                            <w:ilvl w:val="0"/>
                            <w:numId w:val="1"/>
                          </w:numPr>
                        </w:pPr>
                        <w:r w:rsidRPr="0090090D">
                          <w:t>Maths</w:t>
                        </w:r>
                      </w:p>
                      <w:p w14:paraId="508FBCF3" w14:textId="77777777" w:rsidR="0090090D" w:rsidRPr="0090090D" w:rsidRDefault="0090090D" w:rsidP="0090090D">
                        <w:pPr>
                          <w:numPr>
                            <w:ilvl w:val="0"/>
                            <w:numId w:val="1"/>
                          </w:numPr>
                        </w:pPr>
                        <w:r w:rsidRPr="0090090D">
                          <w:t>Multiply adult numeracy programme</w:t>
                        </w:r>
                      </w:p>
                      <w:p w14:paraId="3550A1BA" w14:textId="77777777" w:rsidR="0090090D" w:rsidRPr="0090090D" w:rsidRDefault="0090090D" w:rsidP="0090090D">
                        <w:pPr>
                          <w:numPr>
                            <w:ilvl w:val="0"/>
                            <w:numId w:val="1"/>
                          </w:numPr>
                        </w:pPr>
                        <w:r w:rsidRPr="0090090D">
                          <w:t>Essential Digital Skills</w:t>
                        </w:r>
                      </w:p>
                      <w:p w14:paraId="7159222D" w14:textId="77777777" w:rsidR="0090090D" w:rsidRPr="0090090D" w:rsidRDefault="0090090D" w:rsidP="0090090D">
                        <w:pPr>
                          <w:numPr>
                            <w:ilvl w:val="0"/>
                            <w:numId w:val="1"/>
                          </w:numPr>
                        </w:pPr>
                        <w:r w:rsidRPr="0090090D">
                          <w:t>Community Learning</w:t>
                        </w:r>
                      </w:p>
                      <w:p w14:paraId="03810EBD" w14:textId="77777777" w:rsidR="0090090D" w:rsidRPr="0090090D" w:rsidRDefault="0090090D" w:rsidP="0090090D">
                        <w:pPr>
                          <w:numPr>
                            <w:ilvl w:val="0"/>
                            <w:numId w:val="1"/>
                          </w:numPr>
                        </w:pPr>
                        <w:r w:rsidRPr="0090090D">
                          <w:t>Family Learning and Parenting </w:t>
                        </w:r>
                      </w:p>
                      <w:p w14:paraId="091F1BD7" w14:textId="77777777" w:rsidR="0090090D" w:rsidRPr="0090090D" w:rsidRDefault="0090090D" w:rsidP="0090090D">
                        <w:pPr>
                          <w:numPr>
                            <w:ilvl w:val="0"/>
                            <w:numId w:val="1"/>
                          </w:numPr>
                        </w:pPr>
                        <w:r w:rsidRPr="0090090D">
                          <w:t>Routes into Employment</w:t>
                        </w:r>
                      </w:p>
                      <w:p w14:paraId="097BBCE8" w14:textId="77777777" w:rsidR="0090090D" w:rsidRPr="0090090D" w:rsidRDefault="0090090D" w:rsidP="0090090D">
                        <w:pPr>
                          <w:numPr>
                            <w:ilvl w:val="0"/>
                            <w:numId w:val="1"/>
                          </w:numPr>
                        </w:pPr>
                        <w:r w:rsidRPr="0090090D">
                          <w:t>16 – 19 Study Programmes</w:t>
                        </w:r>
                      </w:p>
                      <w:p w14:paraId="6B0AD3CA" w14:textId="77777777" w:rsidR="0090090D" w:rsidRPr="0090090D" w:rsidRDefault="0090090D" w:rsidP="0090090D">
                        <w:r w:rsidRPr="0090090D">
                          <w:t>Cllr Jacquie Russell, Cabinet Member for Children, Young People, Learning and Skills, said: “Our commitment to helping people and communities achieve their potential through learning doesn’t end when they finish school.</w:t>
                        </w:r>
                      </w:p>
                      <w:p w14:paraId="196BDF7A" w14:textId="77777777" w:rsidR="0090090D" w:rsidRPr="0090090D" w:rsidRDefault="0090090D" w:rsidP="0090090D">
                        <w:r w:rsidRPr="0090090D">
                          <w:lastRenderedPageBreak/>
                          <w:t>“Our adult learning team will be on hand at each of these dates in Crawley and Worthing to talk you through the opportunities available. There will be lots of support and information available for people who want to gain new skills and knowledge that can help them in their everyday lives. I’d encourage anyone interested to pay the Multiply bus a visit and find out more.”</w:t>
                        </w:r>
                      </w:p>
                      <w:p w14:paraId="5A68FECB" w14:textId="77777777" w:rsidR="0090090D" w:rsidRPr="0090090D" w:rsidRDefault="0090090D" w:rsidP="0090090D">
                        <w:r w:rsidRPr="0090090D">
                          <w:t>The Multiply bus will be in Queens Square, in Crawley town centre, from 10am to 4pm on Monday 2, Tuesday 3, Wednesday 4 and Monday 9 September.</w:t>
                        </w:r>
                      </w:p>
                      <w:p w14:paraId="0903A9C9" w14:textId="77777777" w:rsidR="0090090D" w:rsidRPr="0090090D" w:rsidRDefault="0090090D" w:rsidP="0090090D">
                        <w:r w:rsidRPr="0090090D">
                          <w:t>It will be parked on Worthing promenade, next to the pier, from 10am to 4pm on Thursday, 5 and Friday 6 September.</w:t>
                        </w:r>
                      </w:p>
                      <w:p w14:paraId="6C95370B" w14:textId="77777777" w:rsidR="0090090D" w:rsidRPr="0090090D" w:rsidRDefault="0090090D" w:rsidP="0090090D">
                        <w:r w:rsidRPr="0090090D">
                          <w:t>West Sussex County Council Multiply Bus is funded by the Department of Education's Skills for Life Multiply programme.</w:t>
                        </w:r>
                      </w:p>
                      <w:p w14:paraId="336D9596" w14:textId="77777777" w:rsidR="0090090D" w:rsidRPr="0090090D" w:rsidRDefault="0090090D" w:rsidP="0090090D">
                        <w:hyperlink r:id="rId6" w:history="1">
                          <w:r w:rsidRPr="0090090D">
                            <w:rPr>
                              <w:rStyle w:val="Hyperlink"/>
                            </w:rPr>
                            <w:t>Multiply</w:t>
                          </w:r>
                        </w:hyperlink>
                        <w:r w:rsidRPr="0090090D">
                          <w:t xml:space="preserve"> is an adult numeracy programme that offers free, flexible courses for anyone aged 19 and above who does not have a GCSE grade C, level 4 or the equivalent in Maths. As well as enhancing skills and help build confidence with numbers, it also supports learners to work towards a Level 2 qualification in Maths.</w:t>
                        </w:r>
                      </w:p>
                      <w:p w14:paraId="0E106740" w14:textId="77777777" w:rsidR="0090090D" w:rsidRPr="0090090D" w:rsidRDefault="0090090D" w:rsidP="0090090D">
                        <w:r w:rsidRPr="0090090D">
                          <w:t>The Multiply Bus will also be the venue for family events when it visits the Needles Family Hub, on Three Acres, in Horsham, on Saturday 7 September. It will host two free fun-filled sessions of games, creative activities and storytelling designed especially for families.</w:t>
                        </w:r>
                      </w:p>
                      <w:p w14:paraId="2655A7DE" w14:textId="77777777" w:rsidR="0090090D" w:rsidRPr="0090090D" w:rsidRDefault="0090090D" w:rsidP="0090090D">
                        <w:r w:rsidRPr="0090090D">
                          <w:t xml:space="preserve">Places for the </w:t>
                        </w:r>
                        <w:hyperlink r:id="rId7" w:history="1">
                          <w:r w:rsidRPr="0090090D">
                            <w:rPr>
                              <w:rStyle w:val="Hyperlink"/>
                            </w:rPr>
                            <w:t>morning session (10am to 11.30am)</w:t>
                          </w:r>
                        </w:hyperlink>
                        <w:r w:rsidRPr="0090090D">
                          <w:t xml:space="preserve"> and </w:t>
                        </w:r>
                        <w:hyperlink r:id="rId8" w:history="1">
                          <w:r w:rsidRPr="0090090D">
                            <w:rPr>
                              <w:rStyle w:val="Hyperlink"/>
                            </w:rPr>
                            <w:t>afternoon session (1pm to 2.30pm)</w:t>
                          </w:r>
                        </w:hyperlink>
                        <w:r w:rsidRPr="0090090D">
                          <w:t xml:space="preserve"> can be booked online. Numbers are limited so book early to avoid missing out.</w:t>
                        </w:r>
                      </w:p>
                      <w:p w14:paraId="3F15AA2B" w14:textId="77777777" w:rsidR="0090090D" w:rsidRPr="0090090D" w:rsidRDefault="0090090D" w:rsidP="0090090D">
                        <w:r w:rsidRPr="0090090D">
                          <w:rPr>
                            <w:rFonts w:ascii="Arial" w:hAnsi="Arial" w:cs="Arial"/>
                          </w:rPr>
                          <w:t>​</w:t>
                        </w:r>
                        <w:r w:rsidRPr="0090090D">
                          <w:t xml:space="preserve"> </w:t>
                        </w:r>
                      </w:p>
                      <w:p w14:paraId="3D2E0824" w14:textId="77777777" w:rsidR="0090090D" w:rsidRPr="0090090D" w:rsidRDefault="0090090D" w:rsidP="0090090D"/>
                      <w:p w14:paraId="29FB22B9" w14:textId="66B2C92A" w:rsidR="0090090D" w:rsidRPr="0090090D" w:rsidRDefault="0090090D" w:rsidP="0090090D">
                        <w:r w:rsidRPr="0090090D">
                          <w:rPr>
                            <w:b/>
                            <w:bCs/>
                          </w:rPr>
                          <w:t xml:space="preserve">For further information please contact the news desk on 0330 222 8090 or email </w:t>
                        </w:r>
                        <w:hyperlink r:id="rId9" w:history="1">
                          <w:r w:rsidRPr="0090090D">
                            <w:rPr>
                              <w:rStyle w:val="Hyperlink"/>
                              <w:b/>
                              <w:bCs/>
                            </w:rPr>
                            <w:t>pressoffice@westsussex.gov.uk</w:t>
                          </w:r>
                        </w:hyperlink>
                        <w:r w:rsidRPr="0090090D">
                          <w:rPr>
                            <w:b/>
                            <w:bCs/>
                          </w:rPr>
                          <w:t xml:space="preserve">. </w:t>
                        </w:r>
                        <w:r w:rsidRPr="0090090D">
                          <w:rPr>
                            <w:b/>
                            <w:bCs/>
                          </w:rPr>
                          <w:br/>
                        </w:r>
                        <w:r w:rsidRPr="0090090D">
                          <w:rPr>
                            <w:b/>
                            <w:bCs/>
                          </w:rPr>
                          <w:br/>
                          <w:t xml:space="preserve">For urgent out-of-hours enquiries please call 07767 098415. </w:t>
                        </w:r>
                        <w:r w:rsidRPr="0090090D">
                          <w:br/>
                        </w:r>
                        <w:r w:rsidRPr="0090090D">
                          <w:br/>
                        </w:r>
                        <w:r w:rsidRPr="0090090D">
                          <w:drawing>
                            <wp:inline distT="0" distB="0" distL="0" distR="0" wp14:anchorId="1302E10C" wp14:editId="1E66BECF">
                              <wp:extent cx="609600" cy="586740"/>
                              <wp:effectExtent l="0" t="0" r="0" b="3810"/>
                              <wp:docPr id="32398243" name="Picture 5" descr="Faceboo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cebo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sidRPr="0090090D">
                          <w:t> </w:t>
                        </w:r>
                        <w:r w:rsidRPr="0090090D">
                          <w:t xml:space="preserve"> </w:t>
                        </w:r>
                        <w:r w:rsidRPr="0090090D">
                          <w:drawing>
                            <wp:inline distT="0" distB="0" distL="0" distR="0" wp14:anchorId="708050C3" wp14:editId="2EDA2F6C">
                              <wp:extent cx="609600" cy="601980"/>
                              <wp:effectExtent l="0" t="0" r="0" b="7620"/>
                              <wp:docPr id="934214919" name="Picture 4" descr="Twitt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wit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38AF7082" w14:textId="77777777" w:rsidR="0090090D" w:rsidRPr="0090090D" w:rsidRDefault="0090090D" w:rsidP="0090090D"/>
              </w:tc>
            </w:tr>
          </w:tbl>
          <w:p w14:paraId="5AB884E3" w14:textId="77777777" w:rsidR="0090090D" w:rsidRPr="0090090D" w:rsidRDefault="0090090D" w:rsidP="0090090D">
            <w:pPr>
              <w:rPr>
                <w:vanish/>
              </w:rPr>
            </w:pPr>
          </w:p>
          <w:tbl>
            <w:tblPr>
              <w:tblW w:w="9000" w:type="dxa"/>
              <w:tblCellSpacing w:w="0" w:type="dxa"/>
              <w:tblCellMar>
                <w:top w:w="240" w:type="dxa"/>
                <w:left w:w="240" w:type="dxa"/>
                <w:bottom w:w="240" w:type="dxa"/>
                <w:right w:w="240" w:type="dxa"/>
              </w:tblCellMar>
              <w:tblLook w:val="04A0" w:firstRow="1" w:lastRow="0" w:firstColumn="1" w:lastColumn="0" w:noHBand="0" w:noVBand="1"/>
            </w:tblPr>
            <w:tblGrid>
              <w:gridCol w:w="9000"/>
            </w:tblGrid>
            <w:tr w:rsidR="0090090D" w:rsidRPr="0090090D" w14:paraId="6485BC8B" w14:textId="77777777">
              <w:trPr>
                <w:tblCellSpacing w:w="0" w:type="dxa"/>
              </w:trPr>
              <w:tc>
                <w:tcPr>
                  <w:tcW w:w="0" w:type="auto"/>
                  <w:vAlign w:val="center"/>
                  <w:hideMark/>
                </w:tcPr>
                <w:p w14:paraId="73CEEDCD" w14:textId="77777777" w:rsidR="0090090D" w:rsidRPr="0090090D" w:rsidRDefault="0090090D" w:rsidP="0090090D">
                  <w:hyperlink r:id="rId14" w:history="1">
                    <w:r w:rsidRPr="0090090D">
                      <w:rPr>
                        <w:rStyle w:val="Hyperlink"/>
                      </w:rPr>
                      <w:t>Click to Unsubscribe</w:t>
                    </w:r>
                  </w:hyperlink>
                </w:p>
              </w:tc>
            </w:tr>
          </w:tbl>
          <w:p w14:paraId="799F1010" w14:textId="77777777" w:rsidR="0090090D" w:rsidRPr="0090090D" w:rsidRDefault="0090090D" w:rsidP="0090090D"/>
        </w:tc>
      </w:tr>
    </w:tbl>
    <w:p w14:paraId="695EB397"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304AF"/>
    <w:multiLevelType w:val="multilevel"/>
    <w:tmpl w:val="C264F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5789017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0D"/>
    <w:rsid w:val="004617E4"/>
    <w:rsid w:val="006A3332"/>
    <w:rsid w:val="0090090D"/>
    <w:rsid w:val="00B93805"/>
    <w:rsid w:val="00BD4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628DA"/>
  <w15:chartTrackingRefBased/>
  <w15:docId w15:val="{D9A7D00E-BB07-4E57-9971-FE99F9DE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9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09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09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9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09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09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09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09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09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9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09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09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09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09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09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09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09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090D"/>
    <w:rPr>
      <w:rFonts w:eastAsiaTheme="majorEastAsia" w:cstheme="majorBidi"/>
      <w:color w:val="272727" w:themeColor="text1" w:themeTint="D8"/>
    </w:rPr>
  </w:style>
  <w:style w:type="paragraph" w:styleId="Title">
    <w:name w:val="Title"/>
    <w:basedOn w:val="Normal"/>
    <w:next w:val="Normal"/>
    <w:link w:val="TitleChar"/>
    <w:uiPriority w:val="10"/>
    <w:qFormat/>
    <w:rsid w:val="009009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9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9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9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90D"/>
    <w:pPr>
      <w:spacing w:before="160"/>
      <w:jc w:val="center"/>
    </w:pPr>
    <w:rPr>
      <w:i/>
      <w:iCs/>
      <w:color w:val="404040" w:themeColor="text1" w:themeTint="BF"/>
    </w:rPr>
  </w:style>
  <w:style w:type="character" w:customStyle="1" w:styleId="QuoteChar">
    <w:name w:val="Quote Char"/>
    <w:basedOn w:val="DefaultParagraphFont"/>
    <w:link w:val="Quote"/>
    <w:uiPriority w:val="29"/>
    <w:rsid w:val="0090090D"/>
    <w:rPr>
      <w:i/>
      <w:iCs/>
      <w:color w:val="404040" w:themeColor="text1" w:themeTint="BF"/>
    </w:rPr>
  </w:style>
  <w:style w:type="paragraph" w:styleId="ListParagraph">
    <w:name w:val="List Paragraph"/>
    <w:basedOn w:val="Normal"/>
    <w:uiPriority w:val="34"/>
    <w:qFormat/>
    <w:rsid w:val="0090090D"/>
    <w:pPr>
      <w:ind w:left="720"/>
      <w:contextualSpacing/>
    </w:pPr>
  </w:style>
  <w:style w:type="character" w:styleId="IntenseEmphasis">
    <w:name w:val="Intense Emphasis"/>
    <w:basedOn w:val="DefaultParagraphFont"/>
    <w:uiPriority w:val="21"/>
    <w:qFormat/>
    <w:rsid w:val="0090090D"/>
    <w:rPr>
      <w:i/>
      <w:iCs/>
      <w:color w:val="0F4761" w:themeColor="accent1" w:themeShade="BF"/>
    </w:rPr>
  </w:style>
  <w:style w:type="paragraph" w:styleId="IntenseQuote">
    <w:name w:val="Intense Quote"/>
    <w:basedOn w:val="Normal"/>
    <w:next w:val="Normal"/>
    <w:link w:val="IntenseQuoteChar"/>
    <w:uiPriority w:val="30"/>
    <w:qFormat/>
    <w:rsid w:val="009009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90D"/>
    <w:rPr>
      <w:i/>
      <w:iCs/>
      <w:color w:val="0F4761" w:themeColor="accent1" w:themeShade="BF"/>
    </w:rPr>
  </w:style>
  <w:style w:type="character" w:styleId="IntenseReference">
    <w:name w:val="Intense Reference"/>
    <w:basedOn w:val="DefaultParagraphFont"/>
    <w:uiPriority w:val="32"/>
    <w:qFormat/>
    <w:rsid w:val="0090090D"/>
    <w:rPr>
      <w:b/>
      <w:bCs/>
      <w:smallCaps/>
      <w:color w:val="0F4761" w:themeColor="accent1" w:themeShade="BF"/>
      <w:spacing w:val="5"/>
    </w:rPr>
  </w:style>
  <w:style w:type="character" w:styleId="Hyperlink">
    <w:name w:val="Hyperlink"/>
    <w:basedOn w:val="DefaultParagraphFont"/>
    <w:uiPriority w:val="99"/>
    <w:unhideWhenUsed/>
    <w:rsid w:val="0090090D"/>
    <w:rPr>
      <w:color w:val="467886" w:themeColor="hyperlink"/>
      <w:u w:val="single"/>
    </w:rPr>
  </w:style>
  <w:style w:type="character" w:styleId="UnresolvedMention">
    <w:name w:val="Unresolved Mention"/>
    <w:basedOn w:val="DefaultParagraphFont"/>
    <w:uiPriority w:val="99"/>
    <w:semiHidden/>
    <w:unhideWhenUsed/>
    <w:rsid w:val="00900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841723">
      <w:bodyDiv w:val="1"/>
      <w:marLeft w:val="0"/>
      <w:marRight w:val="0"/>
      <w:marTop w:val="0"/>
      <w:marBottom w:val="0"/>
      <w:divBdr>
        <w:top w:val="none" w:sz="0" w:space="0" w:color="auto"/>
        <w:left w:val="none" w:sz="0" w:space="0" w:color="auto"/>
        <w:bottom w:val="none" w:sz="0" w:space="0" w:color="auto"/>
        <w:right w:val="none" w:sz="0" w:space="0" w:color="auto"/>
      </w:divBdr>
    </w:div>
    <w:div w:id="10489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949745774177?aff=oddtdtcreator"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eventbrite.co.uk/e/948900656407?aff=oddtdtcreator" TargetMode="External"/><Relationship Id="rId12" Type="http://schemas.openxmlformats.org/officeDocument/2006/relationships/hyperlink" Target="https://twitter.com/WSCCNew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westsussex.gov.uk/education-children-and-families/adult-learning-service/multiply/"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facebook.com/WestSussexCC/" TargetMode="External"/><Relationship Id="rId4" Type="http://schemas.openxmlformats.org/officeDocument/2006/relationships/webSettings" Target="webSettings.xml"/><Relationship Id="rId9" Type="http://schemas.openxmlformats.org/officeDocument/2006/relationships/hyperlink" Target="mailto:pressoffice@westsussex.gov.uk" TargetMode="External"/><Relationship Id="rId14" Type="http://schemas.openxmlformats.org/officeDocument/2006/relationships/hyperlink" Target="http://tracking.vuelio.westsussex.gov.uk/tracking/unsubscribe?d=1JsCb-Qn8lnHzruq_nN-EgwHZeRoWng6yD5akZNP9Ao__kQsuVMb1WcH8APJNqg-tgwNrtK3oKPLOdVCLk5uPCoJkVETxkErPB27EStqYOem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2024-08-22T08:57:00Z</dcterms:created>
  <dcterms:modified xsi:type="dcterms:W3CDTF">2024-08-22T08:58:00Z</dcterms:modified>
</cp:coreProperties>
</file>