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BA27AC" w14:paraId="6EA1EDFF" w14:textId="77777777" w:rsidTr="00BA27AC">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BA27AC" w14:paraId="1FA4199A" w14:textId="77777777">
              <w:trPr>
                <w:tblCellSpacing w:w="0" w:type="dxa"/>
              </w:trPr>
              <w:tc>
                <w:tcPr>
                  <w:tcW w:w="0" w:type="auto"/>
                  <w:vAlign w:val="center"/>
                  <w:hideMark/>
                </w:tcPr>
                <w:p w14:paraId="33500387" w14:textId="64D34774" w:rsidR="00BA27AC" w:rsidRDefault="00BA27AC">
                  <w:pPr>
                    <w:jc w:val="right"/>
                    <w:rPr>
                      <w:rFonts w:ascii="Calibri" w:eastAsia="Times New Roman" w:hAnsi="Calibri" w:cs="Calibri"/>
                    </w:rPr>
                  </w:pPr>
                  <w:r>
                    <w:rPr>
                      <w:rFonts w:ascii="Calibri" w:eastAsia="Times New Roman" w:hAnsi="Calibri" w:cs="Calibri"/>
                      <w:noProof/>
                    </w:rPr>
                    <w:drawing>
                      <wp:inline distT="0" distB="0" distL="0" distR="0" wp14:anchorId="7BB55053" wp14:editId="780B4E99">
                        <wp:extent cx="2095500" cy="1394460"/>
                        <wp:effectExtent l="0" t="0" r="0" b="0"/>
                        <wp:docPr id="202083272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7576EE53" w14:textId="77777777" w:rsidR="00BA27AC" w:rsidRDefault="00BA27AC">
            <w:pPr>
              <w:rPr>
                <w:rFonts w:ascii="Times New Roman" w:eastAsia="Times New Roman" w:hAnsi="Times New Roman" w:cs="Times New Roman"/>
                <w:sz w:val="20"/>
                <w:szCs w:val="20"/>
              </w:rPr>
            </w:pPr>
          </w:p>
        </w:tc>
      </w:tr>
      <w:tr w:rsidR="00BA27AC" w14:paraId="579C3F72" w14:textId="77777777" w:rsidTr="00BA27AC">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BA27AC" w14:paraId="5AFF97D7"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BA27AC" w14:paraId="0E976D84" w14:textId="77777777">
                    <w:trPr>
                      <w:tblCellSpacing w:w="0" w:type="dxa"/>
                    </w:trPr>
                    <w:tc>
                      <w:tcPr>
                        <w:tcW w:w="0" w:type="auto"/>
                        <w:vAlign w:val="center"/>
                      </w:tcPr>
                      <w:p w14:paraId="5534359D" w14:textId="77777777" w:rsidR="00BA27AC" w:rsidRDefault="00BA27AC">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4EF9AA1E" w14:textId="77777777" w:rsidR="00BA27AC" w:rsidRDefault="00BA27AC">
                        <w:pPr>
                          <w:pStyle w:val="NormalWeb"/>
                          <w:spacing w:before="0" w:beforeAutospacing="0" w:after="0" w:afterAutospacing="0"/>
                          <w:rPr>
                            <w:rFonts w:ascii="Arial" w:hAnsi="Arial" w:cs="Arial"/>
                            <w:color w:val="000000"/>
                          </w:rPr>
                        </w:pPr>
                        <w:r>
                          <w:rPr>
                            <w:rFonts w:ascii="Arial" w:hAnsi="Arial" w:cs="Arial"/>
                            <w:b/>
                            <w:bCs/>
                            <w:color w:val="000000"/>
                          </w:rPr>
                          <w:t xml:space="preserve">15 July 2024 </w:t>
                        </w:r>
                      </w:p>
                      <w:p w14:paraId="5B0011D2" w14:textId="77777777" w:rsidR="00BA27AC" w:rsidRDefault="00BA27AC">
                        <w:pPr>
                          <w:rPr>
                            <w:rFonts w:ascii="Calibri" w:eastAsia="Times New Roman" w:hAnsi="Calibri" w:cs="Calibri"/>
                            <w:color w:val="000000"/>
                            <w:sz w:val="22"/>
                            <w:szCs w:val="22"/>
                          </w:rPr>
                        </w:pPr>
                      </w:p>
                      <w:p w14:paraId="2CB885B9" w14:textId="77777777" w:rsidR="00BA27AC" w:rsidRDefault="00BA27AC">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Be a winner with your recycling in West Sussex this summer </w:t>
                        </w:r>
                      </w:p>
                      <w:p w14:paraId="3DEEDB48" w14:textId="77777777" w:rsidR="00BA27AC" w:rsidRDefault="00BA27AC">
                        <w:pPr>
                          <w:spacing w:after="240"/>
                          <w:rPr>
                            <w:rFonts w:ascii="Calibri" w:eastAsia="Times New Roman" w:hAnsi="Calibri" w:cs="Calibri"/>
                            <w:color w:val="000000"/>
                            <w:sz w:val="22"/>
                            <w:szCs w:val="22"/>
                          </w:rPr>
                        </w:pPr>
                      </w:p>
                      <w:p w14:paraId="0F5F212A" w14:textId="19DEA7BC"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noProof/>
                            <w:color w:val="0000FF"/>
                            <w:sz w:val="22"/>
                            <w:szCs w:val="22"/>
                          </w:rPr>
                          <w:lastRenderedPageBreak/>
                          <w:drawing>
                            <wp:inline distT="0" distB="0" distL="0" distR="0" wp14:anchorId="75D76A53" wp14:editId="02FC087F">
                              <wp:extent cx="5731510" cy="5731510"/>
                              <wp:effectExtent l="0" t="0" r="2540" b="2540"/>
                              <wp:docPr id="1023937511" name="Picture 3" descr="Summer of Sport ">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of Spor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F881116"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With a lineup of major events this summer such as Wimbledon, the Euros, and the Olympic and Paralympic Games, West Sussex County Council has launched a ‘Summer of Sport’ waste prevention and recycling campaign.</w:t>
                        </w:r>
                      </w:p>
                      <w:p w14:paraId="3204681D"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"As people gather to watch sporting events over the summer, we’re asking everyone to consider ways to reduce any waste they may produce and recycle as much as possible at home and whilst out and about.," Deborah Urquhart, Cabinet Member for Environment and Climate Change said.</w:t>
                        </w:r>
                      </w:p>
                      <w:p w14:paraId="6E1AE252"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"Our Council Plan is underpinned by a cross-cutting theme of protecting the environment, and increasing recycling and encouraging waste prevention are important ways in which we can achieve this.</w:t>
                        </w:r>
                      </w:p>
                      <w:p w14:paraId="18695010"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“By working together as a team, small changes in daily habits can lead to significant environmental benefits and will ultimately contribute to a greener West Sussex.”</w:t>
                        </w:r>
                      </w:p>
                      <w:p w14:paraId="1B313B6C"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Materials that can be recycled in household recycling bins in West Sussex include:</w:t>
                        </w:r>
                      </w:p>
                      <w:p w14:paraId="4AC16E42" w14:textId="77777777" w:rsidR="00BA27AC" w:rsidRDefault="00BA27AC" w:rsidP="002C6A57">
                        <w:pPr>
                          <w:numPr>
                            <w:ilvl w:val="0"/>
                            <w:numId w:val="1"/>
                          </w:numPr>
                          <w:spacing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Plastic bottles (tops on)</w:t>
                        </w:r>
                      </w:p>
                      <w:p w14:paraId="79AFB383" w14:textId="77777777" w:rsidR="00BA27AC" w:rsidRDefault="00BA27AC" w:rsidP="002C6A57">
                        <w:pPr>
                          <w:numPr>
                            <w:ilvl w:val="0"/>
                            <w:numId w:val="1"/>
                          </w:numPr>
                          <w:spacing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t>Plastic pots, tubs, and trays</w:t>
                        </w:r>
                      </w:p>
                      <w:p w14:paraId="6486AB1D" w14:textId="77777777" w:rsidR="00BA27AC" w:rsidRDefault="00BA27AC" w:rsidP="002C6A57">
                        <w:pPr>
                          <w:numPr>
                            <w:ilvl w:val="0"/>
                            <w:numId w:val="1"/>
                          </w:numPr>
                          <w:spacing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t>Glass bottles and jars</w:t>
                        </w:r>
                      </w:p>
                      <w:p w14:paraId="1D5F6190" w14:textId="77777777" w:rsidR="00BA27AC" w:rsidRDefault="00BA27AC" w:rsidP="002C6A57">
                        <w:pPr>
                          <w:numPr>
                            <w:ilvl w:val="0"/>
                            <w:numId w:val="1"/>
                          </w:numPr>
                          <w:spacing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t>Paper and card</w:t>
                        </w:r>
                      </w:p>
                      <w:p w14:paraId="6F2E859C" w14:textId="77777777" w:rsidR="00BA27AC" w:rsidRDefault="00BA27AC" w:rsidP="002C6A57">
                        <w:pPr>
                          <w:numPr>
                            <w:ilvl w:val="0"/>
                            <w:numId w:val="1"/>
                          </w:numPr>
                          <w:spacing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t>Tins, cans, and foil</w:t>
                        </w:r>
                      </w:p>
                      <w:p w14:paraId="66C8A9A1" w14:textId="77777777" w:rsidR="00BA27AC" w:rsidRDefault="00BA27AC" w:rsidP="002C6A57">
                        <w:pPr>
                          <w:numPr>
                            <w:ilvl w:val="0"/>
                            <w:numId w:val="1"/>
                          </w:numPr>
                          <w:spacing w:after="160" w:line="254" w:lineRule="auto"/>
                          <w:ind w:left="765"/>
                          <w:rPr>
                            <w:rFonts w:ascii="Calibri" w:eastAsia="Times New Roman" w:hAnsi="Calibri" w:cs="Calibri"/>
                            <w:color w:val="000000"/>
                            <w:sz w:val="22"/>
                            <w:szCs w:val="22"/>
                          </w:rPr>
                        </w:pPr>
                        <w:r>
                          <w:rPr>
                            <w:rFonts w:ascii="Calibri" w:eastAsia="Times New Roman" w:hAnsi="Calibri" w:cs="Calibri"/>
                            <w:color w:val="000000"/>
                            <w:sz w:val="22"/>
                            <w:szCs w:val="22"/>
                          </w:rPr>
                          <w:t>Cartons</w:t>
                        </w:r>
                      </w:p>
                      <w:p w14:paraId="3B207E59"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To ensure efficient processing at recycling facilities, residents are reminded to keep materials clean, dry, and loose (not tied up in plastic bags).</w:t>
                        </w:r>
                      </w:p>
                      <w:p w14:paraId="689BF5A5"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Regular advice and information will be posted on the West Sussex Recycles social media accounts over the summer.  Suggestions include using reusable crockery, cutlery, and picnic cups instead of disposable options, as well as choosing unpackaged fruits and vegetables to minimise plastic waste.</w:t>
                        </w:r>
                      </w:p>
                      <w:p w14:paraId="422BA890"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Information will also be provided on additional services, including supermarket soft plastics recycling schemes, alternative kerbside collections (provided by district and borough councils), as well as further recycling opportunities at local Recycling Centres.</w:t>
                        </w:r>
                      </w:p>
                      <w:p w14:paraId="1FEE6C30" w14:textId="77777777" w:rsidR="00BA27AC" w:rsidRDefault="00BA27AC">
                        <w:pPr>
                          <w:pStyle w:val="NormalWeb"/>
                          <w:spacing w:before="0" w:beforeAutospacing="0" w:after="160" w:afterAutospacing="0" w:line="254" w:lineRule="auto"/>
                          <w:rPr>
                            <w:rFonts w:ascii="Calibri" w:hAnsi="Calibri" w:cs="Calibri"/>
                            <w:color w:val="000000"/>
                            <w:sz w:val="22"/>
                            <w:szCs w:val="22"/>
                          </w:rPr>
                        </w:pPr>
                        <w:r>
                          <w:rPr>
                            <w:rFonts w:ascii="Calibri" w:hAnsi="Calibri" w:cs="Calibri"/>
                            <w:color w:val="000000"/>
                            <w:sz w:val="22"/>
                            <w:szCs w:val="22"/>
                          </w:rPr>
                          <w:t xml:space="preserve">Residents are reminded to book an appointment before visiting their local Recycling Centre. Booking a slot is quick and easy and appointments can be made for the same day where available, or up to 14 days in advance if preferred. Slots can be booked online or over the phone in a matter of minutes. Visit </w:t>
                        </w:r>
                        <w:hyperlink r:id="rId8" w:history="1">
                          <w:r>
                            <w:rPr>
                              <w:rStyle w:val="Hyperlink"/>
                              <w:rFonts w:ascii="Calibri" w:hAnsi="Calibri" w:cs="Calibri"/>
                              <w:sz w:val="22"/>
                              <w:szCs w:val="22"/>
                            </w:rPr>
                            <w:t>www.westsussex.gov.uk/BookToRecycle</w:t>
                          </w:r>
                        </w:hyperlink>
                        <w:r>
                          <w:rPr>
                            <w:rFonts w:ascii="Calibri" w:hAnsi="Calibri" w:cs="Calibri"/>
                            <w:color w:val="000000"/>
                            <w:sz w:val="22"/>
                            <w:szCs w:val="22"/>
                          </w:rPr>
                          <w:t xml:space="preserve"> or call 01243 642106 to book a slot.</w:t>
                        </w:r>
                      </w:p>
                      <w:p w14:paraId="18B9390B" w14:textId="77777777" w:rsidR="00BA27AC" w:rsidRDefault="00BA27AC">
                        <w:pPr>
                          <w:pStyle w:val="NormalWeb"/>
                          <w:rPr>
                            <w:rFonts w:ascii="Arial" w:hAnsi="Arial" w:cs="Arial"/>
                            <w:color w:val="000000"/>
                          </w:rPr>
                        </w:pPr>
                        <w:r>
                          <w:rPr>
                            <w:rFonts w:ascii="Calibri" w:hAnsi="Calibri" w:cs="Calibri"/>
                            <w:color w:val="000000"/>
                            <w:sz w:val="22"/>
                            <w:szCs w:val="22"/>
                          </w:rPr>
                          <w:t xml:space="preserve">To learn more about the Summer of Sport waste prevention campaign and how you can be a recycling winner follow @WSRecycles on Facebook, X(Twitter) and Instagram or visit: </w:t>
                        </w:r>
                        <w:hyperlink r:id="rId9" w:history="1">
                          <w:r>
                            <w:rPr>
                              <w:rStyle w:val="Hyperlink"/>
                              <w:rFonts w:ascii="Calibri" w:hAnsi="Calibri" w:cs="Calibri"/>
                              <w:sz w:val="22"/>
                              <w:szCs w:val="22"/>
                            </w:rPr>
                            <w:t>www.westsussex.gov.uk/summerofsport</w:t>
                          </w:r>
                        </w:hyperlink>
                      </w:p>
                      <w:p w14:paraId="14CE190A" w14:textId="77777777" w:rsidR="00BA27AC" w:rsidRDefault="00BA27AC">
                        <w:pPr>
                          <w:pStyle w:val="NormalWeb"/>
                          <w:rPr>
                            <w:rFonts w:ascii="Arial" w:hAnsi="Arial" w:cs="Arial"/>
                            <w:color w:val="000000"/>
                          </w:rPr>
                        </w:pPr>
                        <w:r>
                          <w:rPr>
                            <w:rFonts w:ascii="Arial" w:hAnsi="Arial" w:cs="Arial"/>
                            <w:color w:val="000000"/>
                          </w:rPr>
                          <w:t> </w:t>
                        </w:r>
                      </w:p>
                      <w:p w14:paraId="41A35765" w14:textId="77777777" w:rsidR="00BA27AC" w:rsidRDefault="00BA27AC">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325C9176" w14:textId="77777777" w:rsidR="00BA27AC" w:rsidRDefault="00BA27AC">
                        <w:pPr>
                          <w:rPr>
                            <w:rFonts w:ascii="Calibri" w:eastAsia="Times New Roman" w:hAnsi="Calibri" w:cs="Calibri"/>
                            <w:color w:val="000000"/>
                            <w:sz w:val="22"/>
                            <w:szCs w:val="22"/>
                          </w:rPr>
                        </w:pPr>
                      </w:p>
                      <w:p w14:paraId="2445388E" w14:textId="24BE58EA" w:rsidR="00BA27AC" w:rsidRDefault="00BA27AC">
                        <w:pPr>
                          <w:pStyle w:val="NormalWeb"/>
                          <w:spacing w:before="0" w:beforeAutospacing="0" w:after="0" w:afterAutospacing="0"/>
                          <w:rPr>
                            <w:rFonts w:ascii="Arial" w:hAnsi="Arial" w:cs="Arial"/>
                            <w:color w:val="000000"/>
                          </w:rPr>
                        </w:pPr>
                        <w:r>
                          <w:rPr>
                            <w:rFonts w:ascii="Arial" w:hAnsi="Arial" w:cs="Arial"/>
                            <w:b/>
                            <w:bCs/>
                            <w:color w:val="000000"/>
                          </w:rPr>
                          <w:t xml:space="preserve">For further information please contact the news desk on 0330 222 8090 or email </w:t>
                        </w:r>
                        <w:hyperlink r:id="rId10"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6416DAD3" wp14:editId="27A5F540">
                              <wp:extent cx="609600" cy="586740"/>
                              <wp:effectExtent l="0" t="0" r="0" b="3810"/>
                              <wp:docPr id="1959665416" name="Picture 2"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5BD5C76A" wp14:editId="76B5F2BC">
                              <wp:extent cx="609600" cy="601980"/>
                              <wp:effectExtent l="0" t="0" r="0" b="7620"/>
                              <wp:docPr id="850702825" name="Picture 1"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625110D5" w14:textId="77777777" w:rsidR="00BA27AC" w:rsidRDefault="00BA27AC">
                  <w:pPr>
                    <w:rPr>
                      <w:rFonts w:ascii="Times New Roman" w:eastAsia="Times New Roman" w:hAnsi="Times New Roman" w:cs="Times New Roman"/>
                      <w:sz w:val="20"/>
                      <w:szCs w:val="20"/>
                    </w:rPr>
                  </w:pPr>
                </w:p>
              </w:tc>
            </w:tr>
          </w:tbl>
          <w:p w14:paraId="1A70F27E" w14:textId="77777777" w:rsidR="00BA27AC" w:rsidRDefault="00BA27AC">
            <w:pPr>
              <w:rPr>
                <w:rFonts w:ascii="Calibri" w:eastAsia="Times New Roman" w:hAnsi="Calibri" w:cs="Calibri"/>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BA27AC" w14:paraId="5A55DCCA" w14:textId="77777777">
              <w:trPr>
                <w:tblCellSpacing w:w="0" w:type="dxa"/>
              </w:trPr>
              <w:tc>
                <w:tcPr>
                  <w:tcW w:w="0" w:type="auto"/>
                  <w:vAlign w:val="center"/>
                  <w:hideMark/>
                </w:tcPr>
                <w:p w14:paraId="7A138803" w14:textId="77777777" w:rsidR="00BA27AC" w:rsidRDefault="00BA27AC">
                  <w:pPr>
                    <w:rPr>
                      <w:rFonts w:ascii="Calibri" w:eastAsia="Times New Roman" w:hAnsi="Calibri" w:cs="Calibri"/>
                    </w:rPr>
                  </w:pPr>
                  <w:hyperlink r:id="rId15" w:history="1">
                    <w:r>
                      <w:rPr>
                        <w:rStyle w:val="Hyperlink"/>
                        <w:rFonts w:ascii="Calibri" w:eastAsia="Times New Roman" w:hAnsi="Calibri" w:cs="Calibri"/>
                        <w:sz w:val="20"/>
                        <w:szCs w:val="20"/>
                      </w:rPr>
                      <w:t>Click to Unsubscribe</w:t>
                    </w:r>
                  </w:hyperlink>
                </w:p>
              </w:tc>
            </w:tr>
          </w:tbl>
          <w:p w14:paraId="2B041B68" w14:textId="77777777" w:rsidR="00BA27AC" w:rsidRDefault="00BA27AC">
            <w:pPr>
              <w:rPr>
                <w:rFonts w:ascii="Times New Roman" w:eastAsia="Times New Roman" w:hAnsi="Times New Roman" w:cs="Times New Roman"/>
                <w:sz w:val="20"/>
                <w:szCs w:val="20"/>
              </w:rPr>
            </w:pPr>
          </w:p>
        </w:tc>
      </w:tr>
    </w:tbl>
    <w:p w14:paraId="14CE33C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24BEB"/>
    <w:multiLevelType w:val="multilevel"/>
    <w:tmpl w:val="614A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58919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AC"/>
    <w:rsid w:val="00351592"/>
    <w:rsid w:val="004617E4"/>
    <w:rsid w:val="006A3332"/>
    <w:rsid w:val="00B93805"/>
    <w:rsid w:val="00BA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2A61"/>
  <w15:chartTrackingRefBased/>
  <w15:docId w15:val="{807A08FA-BC43-4C99-B720-FF2F6A8D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A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A2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7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7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7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7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7AC"/>
    <w:rPr>
      <w:rFonts w:eastAsiaTheme="majorEastAsia" w:cstheme="majorBidi"/>
      <w:color w:val="272727" w:themeColor="text1" w:themeTint="D8"/>
    </w:rPr>
  </w:style>
  <w:style w:type="paragraph" w:styleId="Title">
    <w:name w:val="Title"/>
    <w:basedOn w:val="Normal"/>
    <w:next w:val="Normal"/>
    <w:link w:val="TitleChar"/>
    <w:uiPriority w:val="10"/>
    <w:qFormat/>
    <w:rsid w:val="00BA27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7AC"/>
    <w:pPr>
      <w:spacing w:before="160"/>
      <w:jc w:val="center"/>
    </w:pPr>
    <w:rPr>
      <w:i/>
      <w:iCs/>
      <w:color w:val="404040" w:themeColor="text1" w:themeTint="BF"/>
    </w:rPr>
  </w:style>
  <w:style w:type="character" w:customStyle="1" w:styleId="QuoteChar">
    <w:name w:val="Quote Char"/>
    <w:basedOn w:val="DefaultParagraphFont"/>
    <w:link w:val="Quote"/>
    <w:uiPriority w:val="29"/>
    <w:rsid w:val="00BA27AC"/>
    <w:rPr>
      <w:i/>
      <w:iCs/>
      <w:color w:val="404040" w:themeColor="text1" w:themeTint="BF"/>
    </w:rPr>
  </w:style>
  <w:style w:type="paragraph" w:styleId="ListParagraph">
    <w:name w:val="List Paragraph"/>
    <w:basedOn w:val="Normal"/>
    <w:uiPriority w:val="34"/>
    <w:qFormat/>
    <w:rsid w:val="00BA27AC"/>
    <w:pPr>
      <w:ind w:left="720"/>
      <w:contextualSpacing/>
    </w:pPr>
  </w:style>
  <w:style w:type="character" w:styleId="IntenseEmphasis">
    <w:name w:val="Intense Emphasis"/>
    <w:basedOn w:val="DefaultParagraphFont"/>
    <w:uiPriority w:val="21"/>
    <w:qFormat/>
    <w:rsid w:val="00BA27AC"/>
    <w:rPr>
      <w:i/>
      <w:iCs/>
      <w:color w:val="0F4761" w:themeColor="accent1" w:themeShade="BF"/>
    </w:rPr>
  </w:style>
  <w:style w:type="paragraph" w:styleId="IntenseQuote">
    <w:name w:val="Intense Quote"/>
    <w:basedOn w:val="Normal"/>
    <w:next w:val="Normal"/>
    <w:link w:val="IntenseQuoteChar"/>
    <w:uiPriority w:val="30"/>
    <w:qFormat/>
    <w:rsid w:val="00BA2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7AC"/>
    <w:rPr>
      <w:i/>
      <w:iCs/>
      <w:color w:val="0F4761" w:themeColor="accent1" w:themeShade="BF"/>
    </w:rPr>
  </w:style>
  <w:style w:type="character" w:styleId="IntenseReference">
    <w:name w:val="Intense Reference"/>
    <w:basedOn w:val="DefaultParagraphFont"/>
    <w:uiPriority w:val="32"/>
    <w:qFormat/>
    <w:rsid w:val="00BA27AC"/>
    <w:rPr>
      <w:b/>
      <w:bCs/>
      <w:smallCaps/>
      <w:color w:val="0F4761" w:themeColor="accent1" w:themeShade="BF"/>
      <w:spacing w:val="5"/>
    </w:rPr>
  </w:style>
  <w:style w:type="character" w:styleId="Hyperlink">
    <w:name w:val="Hyperlink"/>
    <w:basedOn w:val="DefaultParagraphFont"/>
    <w:uiPriority w:val="99"/>
    <w:semiHidden/>
    <w:unhideWhenUsed/>
    <w:rsid w:val="00BA27AC"/>
    <w:rPr>
      <w:color w:val="0000FF"/>
      <w:u w:val="single"/>
    </w:rPr>
  </w:style>
  <w:style w:type="paragraph" w:styleId="NormalWeb">
    <w:name w:val="Normal (Web)"/>
    <w:basedOn w:val="Normal"/>
    <w:uiPriority w:val="99"/>
    <w:semiHidden/>
    <w:unhideWhenUsed/>
    <w:rsid w:val="00BA2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4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BookToRecycle" TargetMode="External"/><Relationship Id="rId13" Type="http://schemas.openxmlformats.org/officeDocument/2006/relationships/hyperlink" Target="https://twitter.com/WSCCNew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mscdn.vuelio.co.uk/publicitem/d930a760-3ce0-4af3-a273-ad1d415fd588" TargetMode="External"/><Relationship Id="rId11" Type="http://schemas.openxmlformats.org/officeDocument/2006/relationships/hyperlink" Target="https://www.facebook.com/WestSussexCC/" TargetMode="External"/><Relationship Id="rId5" Type="http://schemas.openxmlformats.org/officeDocument/2006/relationships/image" Target="media/image1.png"/><Relationship Id="rId15" Type="http://schemas.openxmlformats.org/officeDocument/2006/relationships/hyperlink" Target="http://tracking.vuelio.westsussex.gov.uk/tracking/unsubscribe?d=HlhiSkSHj892tgivpL2JT2atdQQj07Z89DX4V5H41O2TB7HtPUG5UKtHQlvphQsa6H-3uwfktEUhRk-nde6dZrcrgfk1KbWqZwFHpFquAphM0" TargetMode="Externa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www.westsussex.gov.uk/summerofspor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2024-07-16T09:57:00Z</dcterms:created>
  <dcterms:modified xsi:type="dcterms:W3CDTF">2024-07-16T09:59:00Z</dcterms:modified>
</cp:coreProperties>
</file>