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11250"/>
      </w:tblGrid>
      <w:tr w:rsidR="00C51B13" w14:paraId="6F261651" w14:textId="77777777" w:rsidTr="00C51B13">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1250"/>
            </w:tblGrid>
            <w:tr w:rsidR="00C51B13" w14:paraId="7EA9C22F" w14:textId="77777777">
              <w:trPr>
                <w:tblCellSpacing w:w="0" w:type="dxa"/>
              </w:trPr>
              <w:tc>
                <w:tcPr>
                  <w:tcW w:w="0" w:type="auto"/>
                  <w:vAlign w:val="center"/>
                  <w:hideMark/>
                </w:tcPr>
                <w:p w14:paraId="11D6F60B" w14:textId="7D9F7D03" w:rsidR="00C51B13" w:rsidRDefault="00C51B13">
                  <w:pPr>
                    <w:jc w:val="right"/>
                    <w:rPr>
                      <w:rFonts w:ascii="Calibri" w:eastAsia="Times New Roman" w:hAnsi="Calibri" w:cs="Calibri"/>
                    </w:rPr>
                  </w:pPr>
                  <w:r>
                    <w:rPr>
                      <w:rFonts w:ascii="Calibri" w:eastAsia="Times New Roman" w:hAnsi="Calibri" w:cs="Calibri"/>
                      <w:noProof/>
                    </w:rPr>
                    <w:drawing>
                      <wp:inline distT="0" distB="0" distL="0" distR="0" wp14:anchorId="629FAEAA" wp14:editId="585630EB">
                        <wp:extent cx="2095500" cy="1394460"/>
                        <wp:effectExtent l="0" t="0" r="0" b="0"/>
                        <wp:docPr id="432674638"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4460"/>
                                </a:xfrm>
                                <a:prstGeom prst="rect">
                                  <a:avLst/>
                                </a:prstGeom>
                                <a:noFill/>
                                <a:ln>
                                  <a:noFill/>
                                </a:ln>
                              </pic:spPr>
                            </pic:pic>
                          </a:graphicData>
                        </a:graphic>
                      </wp:inline>
                    </w:drawing>
                  </w:r>
                </w:p>
              </w:tc>
            </w:tr>
          </w:tbl>
          <w:p w14:paraId="518B7C22" w14:textId="77777777" w:rsidR="00C51B13" w:rsidRDefault="00C51B13">
            <w:pPr>
              <w:rPr>
                <w:rFonts w:ascii="Times New Roman" w:eastAsia="Times New Roman" w:hAnsi="Times New Roman" w:cs="Times New Roman"/>
                <w:sz w:val="20"/>
                <w:szCs w:val="20"/>
              </w:rPr>
            </w:pPr>
          </w:p>
        </w:tc>
      </w:tr>
      <w:tr w:rsidR="00C51B13" w14:paraId="0B394EE6" w14:textId="77777777" w:rsidTr="00C51B13">
        <w:trPr>
          <w:tblCellSpacing w:w="0" w:type="dxa"/>
          <w:jc w:val="center"/>
        </w:trPr>
        <w:tc>
          <w:tcPr>
            <w:tcW w:w="0" w:type="auto"/>
            <w:shd w:val="clear" w:color="auto" w:fill="FFFFFF"/>
            <w:vAlign w:val="center"/>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C51B13" w14:paraId="11F4D553" w14:textId="77777777">
              <w:trPr>
                <w:tblCellSpacing w:w="0" w:type="dxa"/>
              </w:trPr>
              <w:tc>
                <w:tcPr>
                  <w:tcW w:w="0" w:type="auto"/>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10890"/>
                  </w:tblGrid>
                  <w:tr w:rsidR="00C51B13" w14:paraId="779F4590" w14:textId="77777777">
                    <w:trPr>
                      <w:tblCellSpacing w:w="0" w:type="dxa"/>
                    </w:trPr>
                    <w:tc>
                      <w:tcPr>
                        <w:tcW w:w="0" w:type="auto"/>
                        <w:vAlign w:val="center"/>
                      </w:tcPr>
                      <w:p w14:paraId="233305D5" w14:textId="77777777" w:rsidR="00C51B13" w:rsidRDefault="00C51B13">
                        <w:pPr>
                          <w:pStyle w:val="NormalWeb"/>
                          <w:spacing w:before="0" w:beforeAutospacing="0" w:after="400" w:afterAutospacing="0"/>
                          <w:rPr>
                            <w:rFonts w:ascii="Arial" w:hAnsi="Arial" w:cs="Arial"/>
                            <w:color w:val="000000"/>
                            <w:sz w:val="72"/>
                            <w:szCs w:val="72"/>
                          </w:rPr>
                        </w:pPr>
                        <w:r>
                          <w:rPr>
                            <w:rFonts w:ascii="Arial" w:hAnsi="Arial" w:cs="Arial"/>
                            <w:b/>
                            <w:bCs/>
                            <w:color w:val="000000"/>
                            <w:sz w:val="72"/>
                            <w:szCs w:val="72"/>
                          </w:rPr>
                          <w:t xml:space="preserve">news release </w:t>
                        </w:r>
                      </w:p>
                      <w:p w14:paraId="77737F23" w14:textId="77777777" w:rsidR="00C51B13" w:rsidRDefault="00C51B13">
                        <w:pPr>
                          <w:pStyle w:val="NormalWeb"/>
                          <w:spacing w:before="0" w:beforeAutospacing="0" w:after="0" w:afterAutospacing="0"/>
                          <w:rPr>
                            <w:rFonts w:ascii="Arial" w:hAnsi="Arial" w:cs="Arial"/>
                            <w:color w:val="000000"/>
                          </w:rPr>
                        </w:pPr>
                        <w:r>
                          <w:rPr>
                            <w:rFonts w:ascii="Arial" w:hAnsi="Arial" w:cs="Arial"/>
                            <w:b/>
                            <w:bCs/>
                            <w:color w:val="000000"/>
                          </w:rPr>
                          <w:t xml:space="preserve">03 May 2024 </w:t>
                        </w:r>
                      </w:p>
                      <w:p w14:paraId="24E15BDA" w14:textId="77777777" w:rsidR="00C51B13" w:rsidRDefault="00C51B13">
                        <w:pPr>
                          <w:rPr>
                            <w:rFonts w:ascii="Calibri" w:eastAsia="Times New Roman" w:hAnsi="Calibri" w:cs="Calibri"/>
                            <w:color w:val="000000"/>
                            <w:sz w:val="22"/>
                            <w:szCs w:val="22"/>
                          </w:rPr>
                        </w:pPr>
                      </w:p>
                      <w:p w14:paraId="748D70AA" w14:textId="77777777" w:rsidR="00C51B13" w:rsidRDefault="00C51B13">
                        <w:pPr>
                          <w:pStyle w:val="NormalWeb"/>
                          <w:spacing w:before="0" w:beforeAutospacing="0" w:after="0" w:afterAutospacing="0"/>
                          <w:jc w:val="center"/>
                          <w:rPr>
                            <w:rFonts w:ascii="Arial" w:hAnsi="Arial" w:cs="Arial"/>
                            <w:color w:val="000000"/>
                            <w:sz w:val="32"/>
                            <w:szCs w:val="32"/>
                          </w:rPr>
                        </w:pPr>
                        <w:r>
                          <w:rPr>
                            <w:rFonts w:ascii="Arial" w:hAnsi="Arial" w:cs="Arial"/>
                            <w:b/>
                            <w:bCs/>
                            <w:color w:val="000000"/>
                            <w:sz w:val="32"/>
                            <w:szCs w:val="32"/>
                          </w:rPr>
                          <w:t xml:space="preserve">Return your unused community care equipment and help others in </w:t>
                        </w:r>
                        <w:proofErr w:type="gramStart"/>
                        <w:r>
                          <w:rPr>
                            <w:rFonts w:ascii="Arial" w:hAnsi="Arial" w:cs="Arial"/>
                            <w:b/>
                            <w:bCs/>
                            <w:color w:val="000000"/>
                            <w:sz w:val="32"/>
                            <w:szCs w:val="32"/>
                          </w:rPr>
                          <w:t>need</w:t>
                        </w:r>
                        <w:proofErr w:type="gramEnd"/>
                        <w:r>
                          <w:rPr>
                            <w:rFonts w:ascii="Arial" w:hAnsi="Arial" w:cs="Arial"/>
                            <w:b/>
                            <w:bCs/>
                            <w:color w:val="000000"/>
                            <w:sz w:val="32"/>
                            <w:szCs w:val="32"/>
                          </w:rPr>
                          <w:t xml:space="preserve"> </w:t>
                        </w:r>
                      </w:p>
                      <w:p w14:paraId="71282BFB" w14:textId="77777777" w:rsidR="00C51B13" w:rsidRDefault="00C51B13">
                        <w:pPr>
                          <w:spacing w:after="240"/>
                          <w:rPr>
                            <w:rFonts w:ascii="Calibri" w:eastAsia="Times New Roman" w:hAnsi="Calibri" w:cs="Calibri"/>
                            <w:color w:val="000000"/>
                            <w:sz w:val="22"/>
                            <w:szCs w:val="22"/>
                          </w:rPr>
                        </w:pPr>
                      </w:p>
                      <w:p w14:paraId="2D2C30B3" w14:textId="0358575C" w:rsidR="00C51B13" w:rsidRDefault="00C51B13">
                        <w:pPr>
                          <w:pStyle w:val="NormalWeb"/>
                          <w:rPr>
                            <w:rFonts w:ascii="Arial" w:hAnsi="Arial" w:cs="Arial"/>
                            <w:color w:val="000000"/>
                          </w:rPr>
                        </w:pPr>
                        <w:r>
                          <w:rPr>
                            <w:rFonts w:ascii="Arial" w:hAnsi="Arial" w:cs="Arial"/>
                            <w:noProof/>
                            <w:color w:val="0000FF"/>
                          </w:rPr>
                          <w:drawing>
                            <wp:inline distT="0" distB="0" distL="0" distR="0" wp14:anchorId="22FC906B" wp14:editId="79566B1E">
                              <wp:extent cx="5731510" cy="4052570"/>
                              <wp:effectExtent l="0" t="0" r="2540" b="5080"/>
                              <wp:docPr id="1846908159" name="Picture 3" descr="WS33193(B) Recycling and reusing walking aids campaign A2 Bin Sticker_v2-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33193(B) Recycling and reusing walking aids campaign A2 Bin Sticker_v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52570"/>
                                      </a:xfrm>
                                      <a:prstGeom prst="rect">
                                        <a:avLst/>
                                      </a:prstGeom>
                                      <a:noFill/>
                                      <a:ln>
                                        <a:noFill/>
                                      </a:ln>
                                    </pic:spPr>
                                  </pic:pic>
                                </a:graphicData>
                              </a:graphic>
                            </wp:inline>
                          </w:drawing>
                        </w:r>
                      </w:p>
                      <w:p w14:paraId="135507E4" w14:textId="77777777" w:rsidR="00C51B13" w:rsidRDefault="00C51B13">
                        <w:pPr>
                          <w:pStyle w:val="NormalWeb"/>
                          <w:rPr>
                            <w:rFonts w:ascii="Arial" w:hAnsi="Arial" w:cs="Arial"/>
                            <w:color w:val="000000"/>
                          </w:rPr>
                        </w:pPr>
                        <w:r>
                          <w:rPr>
                            <w:rFonts w:ascii="Arial" w:hAnsi="Arial" w:cs="Arial"/>
                            <w:color w:val="000000"/>
                          </w:rPr>
                          <w:lastRenderedPageBreak/>
                          <w:t xml:space="preserve">West Sussex residents can give a new lease of life to care equipment that is no longer needed by taking unused items to any of the council’s </w:t>
                        </w:r>
                        <w:hyperlink r:id="rId8" w:history="1">
                          <w:r>
                            <w:rPr>
                              <w:rStyle w:val="Hyperlink"/>
                              <w:rFonts w:ascii="Arial" w:hAnsi="Arial" w:cs="Arial"/>
                            </w:rPr>
                            <w:t>Recycling Centres</w:t>
                          </w:r>
                        </w:hyperlink>
                        <w:r>
                          <w:rPr>
                            <w:rFonts w:ascii="Arial" w:hAnsi="Arial" w:cs="Arial"/>
                            <w:color w:val="000000"/>
                          </w:rPr>
                          <w:t>.</w:t>
                        </w:r>
                      </w:p>
                      <w:p w14:paraId="401C6688" w14:textId="77777777" w:rsidR="00C51B13" w:rsidRDefault="00C51B13">
                        <w:pPr>
                          <w:pStyle w:val="NormalWeb"/>
                          <w:rPr>
                            <w:rFonts w:ascii="Arial" w:hAnsi="Arial" w:cs="Arial"/>
                            <w:color w:val="000000"/>
                          </w:rPr>
                        </w:pPr>
                        <w:r>
                          <w:rPr>
                            <w:rFonts w:ascii="Arial" w:hAnsi="Arial" w:cs="Arial"/>
                            <w:color w:val="000000"/>
                          </w:rPr>
                          <w:t>Drop-off points have been introduced at all sites across the county in a joint initiative between West Sussex County Council’s Community Equipment Service, West Sussex Recycles and Millbrook Healthcare.</w:t>
                        </w:r>
                      </w:p>
                      <w:p w14:paraId="1C964BCC" w14:textId="77777777" w:rsidR="00C51B13" w:rsidRDefault="00C51B13">
                        <w:pPr>
                          <w:pStyle w:val="NormalWeb"/>
                          <w:rPr>
                            <w:rFonts w:ascii="Arial" w:hAnsi="Arial" w:cs="Arial"/>
                            <w:color w:val="000000"/>
                          </w:rPr>
                        </w:pPr>
                        <w:r>
                          <w:rPr>
                            <w:rFonts w:ascii="Arial" w:hAnsi="Arial" w:cs="Arial"/>
                            <w:color w:val="000000"/>
                          </w:rPr>
                          <w:t>Items that can be refurbished and reused will boost availability and help people who are recovering or who need extra help to stay living independently in their own homes.</w:t>
                        </w:r>
                      </w:p>
                      <w:p w14:paraId="4CE68329" w14:textId="77777777" w:rsidR="00C51B13" w:rsidRDefault="00C51B13">
                        <w:pPr>
                          <w:pStyle w:val="NormalWeb"/>
                          <w:rPr>
                            <w:rFonts w:ascii="Arial" w:hAnsi="Arial" w:cs="Arial"/>
                            <w:color w:val="000000"/>
                          </w:rPr>
                        </w:pPr>
                        <w:r>
                          <w:rPr>
                            <w:rFonts w:ascii="Arial" w:hAnsi="Arial" w:cs="Arial"/>
                            <w:color w:val="000000"/>
                          </w:rPr>
                          <w:t>Reusing and recycling equipment is better for the environment, reduces the need for new equipment to be produced, and reduces our carbon footprint.</w:t>
                        </w:r>
                      </w:p>
                      <w:p w14:paraId="4242A29F" w14:textId="77777777" w:rsidR="00C51B13" w:rsidRDefault="00C51B13">
                        <w:pPr>
                          <w:pStyle w:val="NormalWeb"/>
                          <w:rPr>
                            <w:rFonts w:ascii="Arial" w:hAnsi="Arial" w:cs="Arial"/>
                            <w:color w:val="000000"/>
                          </w:rPr>
                        </w:pPr>
                        <w:r>
                          <w:rPr>
                            <w:rFonts w:ascii="Arial" w:hAnsi="Arial" w:cs="Arial"/>
                            <w:color w:val="000000"/>
                          </w:rPr>
                          <w:t>Councillor Amanda Jupp, Cabinet Member for Adults’ Services, said: “There are many people who would benefit from borrowing pieces of care and mobility equipment which others may no longer need.</w:t>
                        </w:r>
                      </w:p>
                      <w:p w14:paraId="116588BA" w14:textId="77777777" w:rsidR="00C51B13" w:rsidRDefault="00C51B13">
                        <w:pPr>
                          <w:pStyle w:val="NormalWeb"/>
                          <w:rPr>
                            <w:rFonts w:ascii="Arial" w:hAnsi="Arial" w:cs="Arial"/>
                            <w:color w:val="000000"/>
                          </w:rPr>
                        </w:pPr>
                        <w:r>
                          <w:rPr>
                            <w:rFonts w:ascii="Arial" w:hAnsi="Arial" w:cs="Arial"/>
                            <w:color w:val="000000"/>
                          </w:rPr>
                          <w:t xml:space="preserve">“This equipment can make a huge difference to people’s everyday lives, and it supports the aim of our </w:t>
                        </w:r>
                        <w:hyperlink r:id="rId9" w:history="1">
                          <w:r>
                            <w:rPr>
                              <w:rStyle w:val="Hyperlink"/>
                              <w:rFonts w:ascii="Arial" w:hAnsi="Arial" w:cs="Arial"/>
                            </w:rPr>
                            <w:t>adult social care strategy</w:t>
                          </w:r>
                        </w:hyperlink>
                        <w:r>
                          <w:rPr>
                            <w:rFonts w:ascii="Arial" w:hAnsi="Arial" w:cs="Arial"/>
                            <w:color w:val="000000"/>
                          </w:rPr>
                          <w:t xml:space="preserve"> to give them more independence in their own homes as well </w:t>
                        </w:r>
                        <w:hyperlink r:id="rId10" w:history="1">
                          <w:r>
                            <w:rPr>
                              <w:rStyle w:val="Hyperlink"/>
                              <w:rFonts w:ascii="Arial" w:hAnsi="Arial" w:cs="Arial"/>
                            </w:rPr>
                            <w:t>Our Council Plan</w:t>
                          </w:r>
                        </w:hyperlink>
                        <w:r>
                          <w:rPr>
                            <w:rFonts w:ascii="Arial" w:hAnsi="Arial" w:cs="Arial"/>
                            <w:color w:val="000000"/>
                          </w:rPr>
                          <w:t xml:space="preserve"> priorities of making best use of resources and helping people to fulfil their potential.</w:t>
                        </w:r>
                      </w:p>
                      <w:p w14:paraId="7F3B0EAC" w14:textId="77777777" w:rsidR="00C51B13" w:rsidRDefault="00C51B13">
                        <w:pPr>
                          <w:pStyle w:val="NormalWeb"/>
                          <w:rPr>
                            <w:rFonts w:ascii="Arial" w:hAnsi="Arial" w:cs="Arial"/>
                            <w:color w:val="000000"/>
                          </w:rPr>
                        </w:pPr>
                        <w:r>
                          <w:rPr>
                            <w:rFonts w:ascii="Arial" w:hAnsi="Arial" w:cs="Arial"/>
                            <w:color w:val="000000"/>
                          </w:rPr>
                          <w:t>“I’d urge anyone with equipment they no longer need to return it and help us to help others who might benefit from its use.</w:t>
                        </w:r>
                      </w:p>
                      <w:p w14:paraId="17AEEB27" w14:textId="77777777" w:rsidR="00C51B13" w:rsidRDefault="00C51B13">
                        <w:pPr>
                          <w:pStyle w:val="NormalWeb"/>
                          <w:rPr>
                            <w:rFonts w:ascii="Arial" w:hAnsi="Arial" w:cs="Arial"/>
                            <w:color w:val="000000"/>
                          </w:rPr>
                        </w:pPr>
                        <w:r>
                          <w:rPr>
                            <w:rFonts w:ascii="Arial" w:hAnsi="Arial" w:cs="Arial"/>
                            <w:color w:val="000000"/>
                          </w:rPr>
                          <w:t>“However, please don’t return anything that you are still using as we would never want to put anyone at risk by asking them to return something they still need.”</w:t>
                        </w:r>
                      </w:p>
                      <w:p w14:paraId="2C7FE4A7" w14:textId="77777777" w:rsidR="00C51B13" w:rsidRDefault="00C51B13">
                        <w:pPr>
                          <w:pStyle w:val="NormalWeb"/>
                          <w:rPr>
                            <w:rFonts w:ascii="Arial" w:hAnsi="Arial" w:cs="Arial"/>
                            <w:color w:val="000000"/>
                          </w:rPr>
                        </w:pPr>
                        <w:r>
                          <w:rPr>
                            <w:rFonts w:ascii="Arial" w:hAnsi="Arial" w:cs="Arial"/>
                            <w:color w:val="000000"/>
                          </w:rPr>
                          <w:t>The full list of items which can be returned, if no longer needed, includes:</w:t>
                        </w:r>
                      </w:p>
                      <w:p w14:paraId="417397F6"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Walking sticks and crutches – all kinds</w:t>
                        </w:r>
                      </w:p>
                      <w:p w14:paraId="0A99822D"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Walking frames – all kinds</w:t>
                        </w:r>
                      </w:p>
                      <w:p w14:paraId="3E23A89A"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Rollators (walking aids with wheels and seats)</w:t>
                        </w:r>
                      </w:p>
                      <w:p w14:paraId="7907F4E2"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Stackable commodes</w:t>
                        </w:r>
                      </w:p>
                      <w:p w14:paraId="414A733E"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Stackable perching stools</w:t>
                        </w:r>
                      </w:p>
                      <w:p w14:paraId="6033F627"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Stackable toilet frames</w:t>
                        </w:r>
                      </w:p>
                      <w:p w14:paraId="44770DD6"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Toilet seat raisers</w:t>
                        </w:r>
                      </w:p>
                      <w:p w14:paraId="265A9227" w14:textId="77777777" w:rsidR="00C51B13" w:rsidRDefault="00C51B13" w:rsidP="0072623E">
                        <w:pPr>
                          <w:numPr>
                            <w:ilvl w:val="0"/>
                            <w:numId w:val="1"/>
                          </w:numPr>
                          <w:spacing w:before="100" w:beforeAutospacing="1" w:after="100" w:afterAutospacing="1"/>
                          <w:rPr>
                            <w:rFonts w:ascii="Arial" w:eastAsia="Times New Roman" w:hAnsi="Arial" w:cs="Arial"/>
                            <w:color w:val="000000"/>
                          </w:rPr>
                        </w:pPr>
                        <w:r>
                          <w:rPr>
                            <w:rFonts w:ascii="Arial" w:eastAsia="Times New Roman" w:hAnsi="Arial" w:cs="Arial"/>
                            <w:color w:val="000000"/>
                          </w:rPr>
                          <w:t>Slings/slide sheets</w:t>
                        </w:r>
                      </w:p>
                      <w:p w14:paraId="7BA5999D" w14:textId="77777777" w:rsidR="00C51B13" w:rsidRDefault="00C51B13">
                        <w:pPr>
                          <w:pStyle w:val="NormalWeb"/>
                          <w:rPr>
                            <w:rFonts w:ascii="Arial" w:hAnsi="Arial" w:cs="Arial"/>
                            <w:color w:val="000000"/>
                          </w:rPr>
                        </w:pPr>
                        <w:r>
                          <w:rPr>
                            <w:rFonts w:ascii="Arial" w:hAnsi="Arial" w:cs="Arial"/>
                            <w:color w:val="000000"/>
                          </w:rPr>
                          <w:t>Items that can’t be returned to the Recycling Centres include:</w:t>
                        </w:r>
                      </w:p>
                      <w:p w14:paraId="1B0305C3" w14:textId="77777777" w:rsidR="00C51B13" w:rsidRDefault="00C51B13" w:rsidP="0072623E">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Electrical items of care equipment</w:t>
                        </w:r>
                      </w:p>
                      <w:p w14:paraId="5E00C8B4" w14:textId="77777777" w:rsidR="00C51B13" w:rsidRDefault="00C51B13" w:rsidP="0072623E">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Items of equipment that are unsuitable for </w:t>
                        </w:r>
                        <w:proofErr w:type="gramStart"/>
                        <w:r>
                          <w:rPr>
                            <w:rFonts w:ascii="Arial" w:eastAsia="Times New Roman" w:hAnsi="Arial" w:cs="Arial"/>
                            <w:color w:val="000000"/>
                          </w:rPr>
                          <w:t>refurbishment</w:t>
                        </w:r>
                        <w:proofErr w:type="gramEnd"/>
                      </w:p>
                      <w:p w14:paraId="5F208A70" w14:textId="77777777" w:rsidR="00C51B13" w:rsidRDefault="00C51B13" w:rsidP="0072623E">
                        <w:pPr>
                          <w:numPr>
                            <w:ilvl w:val="0"/>
                            <w:numId w:val="2"/>
                          </w:numPr>
                          <w:spacing w:before="100" w:beforeAutospacing="1" w:after="100" w:afterAutospacing="1"/>
                          <w:rPr>
                            <w:rFonts w:ascii="Arial" w:eastAsia="Times New Roman" w:hAnsi="Arial" w:cs="Arial"/>
                            <w:color w:val="000000"/>
                          </w:rPr>
                        </w:pPr>
                        <w:r>
                          <w:rPr>
                            <w:rFonts w:ascii="Arial" w:eastAsia="Times New Roman" w:hAnsi="Arial" w:cs="Arial"/>
                            <w:color w:val="000000"/>
                          </w:rPr>
                          <w:t>Larger equipment (</w:t>
                        </w:r>
                        <w:proofErr w:type="spellStart"/>
                        <w:r>
                          <w:rPr>
                            <w:rFonts w:ascii="Arial" w:eastAsia="Times New Roman" w:hAnsi="Arial" w:cs="Arial"/>
                            <w:color w:val="000000"/>
                          </w:rPr>
                          <w:t>eg</w:t>
                        </w:r>
                        <w:proofErr w:type="spellEnd"/>
                        <w:r>
                          <w:rPr>
                            <w:rFonts w:ascii="Arial" w:eastAsia="Times New Roman" w:hAnsi="Arial" w:cs="Arial"/>
                            <w:color w:val="000000"/>
                          </w:rPr>
                          <w:t>, hospital style beds, hoists, etc)</w:t>
                        </w:r>
                      </w:p>
                      <w:p w14:paraId="7E6BDDD9" w14:textId="77777777" w:rsidR="00C51B13" w:rsidRDefault="00C51B13">
                        <w:pPr>
                          <w:pStyle w:val="NormalWeb"/>
                          <w:rPr>
                            <w:rFonts w:ascii="Arial" w:hAnsi="Arial" w:cs="Arial"/>
                            <w:color w:val="000000"/>
                          </w:rPr>
                        </w:pPr>
                        <w:r>
                          <w:rPr>
                            <w:rFonts w:ascii="Arial" w:hAnsi="Arial" w:cs="Arial"/>
                            <w:color w:val="000000"/>
                          </w:rPr>
                          <w:t xml:space="preserve">If you have items that cannot be accepted at the Recycling Centres, you can contact community equipment provider Millbrook Healthcare by calling 0345 127 2931 between 8.30am and 5.30pm </w:t>
                        </w:r>
                        <w:r>
                          <w:rPr>
                            <w:rFonts w:ascii="Arial" w:hAnsi="Arial" w:cs="Arial"/>
                            <w:color w:val="000000"/>
                          </w:rPr>
                          <w:lastRenderedPageBreak/>
                          <w:t xml:space="preserve">Monday to Friday. You can also email </w:t>
                        </w:r>
                        <w:hyperlink r:id="rId11" w:history="1">
                          <w:r>
                            <w:rPr>
                              <w:rStyle w:val="Hyperlink"/>
                              <w:rFonts w:ascii="Arial" w:hAnsi="Arial" w:cs="Arial"/>
                            </w:rPr>
                            <w:t>westsussexcontactus@millbrookhealthcare.co.uk</w:t>
                          </w:r>
                        </w:hyperlink>
                        <w:r>
                          <w:rPr>
                            <w:rFonts w:ascii="Arial" w:hAnsi="Arial" w:cs="Arial"/>
                            <w:color w:val="000000"/>
                          </w:rPr>
                          <w:t xml:space="preserve"> to arrange the safe collection of any items that are no longer needed.</w:t>
                        </w:r>
                      </w:p>
                      <w:p w14:paraId="0B2AD502" w14:textId="77777777" w:rsidR="00C51B13" w:rsidRDefault="00C51B13">
                        <w:pPr>
                          <w:pStyle w:val="NormalWeb"/>
                          <w:rPr>
                            <w:rFonts w:ascii="Arial" w:hAnsi="Arial" w:cs="Arial"/>
                            <w:color w:val="000000"/>
                          </w:rPr>
                        </w:pPr>
                        <w:r>
                          <w:rPr>
                            <w:rFonts w:ascii="Arial" w:hAnsi="Arial" w:cs="Arial"/>
                            <w:color w:val="000000"/>
                          </w:rPr>
                          <w:t>Millbrook Healthcare will recycle any equipment that is not suitable for refurbishment and reuse.</w:t>
                        </w:r>
                      </w:p>
                      <w:p w14:paraId="053A54EB" w14:textId="77777777" w:rsidR="00C51B13" w:rsidRDefault="00C51B13">
                        <w:pPr>
                          <w:pStyle w:val="NormalWeb"/>
                          <w:rPr>
                            <w:rFonts w:ascii="Arial" w:hAnsi="Arial" w:cs="Arial"/>
                            <w:color w:val="000000"/>
                          </w:rPr>
                        </w:pPr>
                        <w:r>
                          <w:rPr>
                            <w:rFonts w:ascii="Arial" w:hAnsi="Arial" w:cs="Arial"/>
                            <w:color w:val="000000"/>
                          </w:rPr>
                          <w:t>To return acceptable items, please book an appointment to visit your local Recycling Centre. Bookings are easy to make and can be made on the day or up to two weeks in advance.</w:t>
                        </w:r>
                      </w:p>
                      <w:p w14:paraId="29D86EC6" w14:textId="77777777" w:rsidR="00C51B13" w:rsidRDefault="00C51B13">
                        <w:pPr>
                          <w:pStyle w:val="NormalWeb"/>
                          <w:rPr>
                            <w:rFonts w:ascii="Arial" w:hAnsi="Arial" w:cs="Arial"/>
                            <w:color w:val="000000"/>
                          </w:rPr>
                        </w:pPr>
                        <w:r>
                          <w:rPr>
                            <w:rFonts w:ascii="Arial" w:hAnsi="Arial" w:cs="Arial"/>
                            <w:color w:val="000000"/>
                          </w:rPr>
                          <w:t xml:space="preserve">For more information on how to book as well as Recycling Centre opening days and times, please visit: </w:t>
                        </w:r>
                        <w:hyperlink r:id="rId12" w:history="1">
                          <w:r>
                            <w:rPr>
                              <w:rStyle w:val="Hyperlink"/>
                              <w:rFonts w:ascii="Arial" w:hAnsi="Arial" w:cs="Arial"/>
                            </w:rPr>
                            <w:t>www.westsussex.gov.uk/RC</w:t>
                          </w:r>
                        </w:hyperlink>
                      </w:p>
                      <w:p w14:paraId="6F1E6CA1" w14:textId="77777777" w:rsidR="00C51B13" w:rsidRDefault="00C51B13">
                        <w:pPr>
                          <w:pStyle w:val="NormalWeb"/>
                          <w:spacing w:before="0" w:beforeAutospacing="0" w:after="0" w:afterAutospacing="0"/>
                          <w:rPr>
                            <w:rFonts w:ascii="Arial" w:hAnsi="Arial" w:cs="Arial"/>
                            <w:color w:val="000000"/>
                          </w:rPr>
                        </w:pPr>
                        <w:r>
                          <w:rPr>
                            <w:rFonts w:ascii="Arial" w:hAnsi="Arial" w:cs="Arial"/>
                            <w:color w:val="000000"/>
                          </w:rPr>
                          <w:t xml:space="preserve">​ </w:t>
                        </w:r>
                      </w:p>
                      <w:p w14:paraId="7D3A605C" w14:textId="77777777" w:rsidR="00C51B13" w:rsidRDefault="00C51B13">
                        <w:pPr>
                          <w:rPr>
                            <w:rFonts w:ascii="Calibri" w:eastAsia="Times New Roman" w:hAnsi="Calibri" w:cs="Calibri"/>
                            <w:color w:val="000000"/>
                            <w:sz w:val="22"/>
                            <w:szCs w:val="22"/>
                          </w:rPr>
                        </w:pPr>
                      </w:p>
                      <w:p w14:paraId="438F9DA3" w14:textId="08929F51" w:rsidR="00C51B13" w:rsidRDefault="00C51B13">
                        <w:pPr>
                          <w:pStyle w:val="NormalWeb"/>
                          <w:spacing w:before="0" w:beforeAutospacing="0" w:after="0" w:afterAutospacing="0"/>
                          <w:rPr>
                            <w:rFonts w:ascii="Arial" w:hAnsi="Arial" w:cs="Arial"/>
                            <w:color w:val="000000"/>
                          </w:rPr>
                        </w:pPr>
                        <w:r>
                          <w:rPr>
                            <w:rFonts w:ascii="Arial" w:hAnsi="Arial" w:cs="Arial"/>
                            <w:b/>
                            <w:bCs/>
                            <w:color w:val="000000"/>
                          </w:rPr>
                          <w:t xml:space="preserve">For further information please contact the news desk on 0330 222 8090 or email </w:t>
                        </w:r>
                        <w:hyperlink r:id="rId13" w:history="1">
                          <w:r>
                            <w:rPr>
                              <w:rStyle w:val="Hyperlink"/>
                              <w:rFonts w:ascii="Arial" w:hAnsi="Arial" w:cs="Arial"/>
                              <w:b/>
                              <w:bCs/>
                            </w:rPr>
                            <w:t>pressoffice@westsussex.gov.uk</w:t>
                          </w:r>
                        </w:hyperlink>
                        <w:r>
                          <w:rPr>
                            <w:rFonts w:ascii="Arial" w:hAnsi="Arial" w:cs="Arial"/>
                            <w:b/>
                            <w:bCs/>
                            <w:color w:val="000000"/>
                          </w:rPr>
                          <w:t xml:space="preserve">. </w:t>
                        </w:r>
                        <w:r>
                          <w:rPr>
                            <w:rFonts w:ascii="Arial" w:hAnsi="Arial" w:cs="Arial"/>
                            <w:b/>
                            <w:bCs/>
                            <w:color w:val="000000"/>
                          </w:rPr>
                          <w:br/>
                        </w:r>
                        <w:r>
                          <w:rPr>
                            <w:rFonts w:ascii="Arial" w:hAnsi="Arial" w:cs="Arial"/>
                            <w:b/>
                            <w:bCs/>
                            <w:color w:val="000000"/>
                          </w:rPr>
                          <w:br/>
                          <w:t xml:space="preserve">For urgent out-of-hours enquiries please call 07767 098415. </w:t>
                        </w:r>
                        <w:r>
                          <w:rPr>
                            <w:rFonts w:ascii="Arial" w:hAnsi="Arial" w:cs="Arial"/>
                            <w:color w:val="000000"/>
                          </w:rPr>
                          <w:br/>
                        </w:r>
                        <w:r>
                          <w:rPr>
                            <w:rFonts w:ascii="Arial" w:hAnsi="Arial" w:cs="Arial"/>
                            <w:color w:val="000000"/>
                          </w:rPr>
                          <w:br/>
                        </w:r>
                        <w:r>
                          <w:rPr>
                            <w:rFonts w:ascii="Arial" w:hAnsi="Arial" w:cs="Arial"/>
                            <w:noProof/>
                            <w:color w:val="0000FF"/>
                          </w:rPr>
                          <w:drawing>
                            <wp:inline distT="0" distB="0" distL="0" distR="0" wp14:anchorId="4E3D187C" wp14:editId="77D6DABE">
                              <wp:extent cx="609600" cy="586740"/>
                              <wp:effectExtent l="0" t="0" r="0" b="3810"/>
                              <wp:docPr id="1400169592" name="Picture 2" descr="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color w:val="000000"/>
                          </w:rPr>
                          <w:t> </w:t>
                        </w:r>
                        <w:r>
                          <w:rPr>
                            <w:rFonts w:ascii="Arial" w:hAnsi="Arial" w:cs="Arial"/>
                            <w:color w:val="000000"/>
                          </w:rPr>
                          <w:t xml:space="preserve"> </w:t>
                        </w:r>
                        <w:r>
                          <w:rPr>
                            <w:rFonts w:ascii="Arial" w:hAnsi="Arial" w:cs="Arial"/>
                            <w:noProof/>
                            <w:color w:val="0000FF"/>
                          </w:rPr>
                          <w:drawing>
                            <wp:inline distT="0" distB="0" distL="0" distR="0" wp14:anchorId="18E12F0E" wp14:editId="0F798205">
                              <wp:extent cx="609600" cy="601980"/>
                              <wp:effectExtent l="0" t="0" r="0" b="7620"/>
                              <wp:docPr id="1608954089" name="Picture 1" descr="Twit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343C8CDD" w14:textId="77777777" w:rsidR="00C51B13" w:rsidRDefault="00C51B13">
                  <w:pPr>
                    <w:rPr>
                      <w:rFonts w:ascii="Times New Roman" w:eastAsia="Times New Roman" w:hAnsi="Times New Roman" w:cs="Times New Roman"/>
                      <w:sz w:val="20"/>
                      <w:szCs w:val="20"/>
                    </w:rPr>
                  </w:pPr>
                </w:p>
              </w:tc>
            </w:tr>
          </w:tbl>
          <w:p w14:paraId="78A89F39" w14:textId="77777777" w:rsidR="00C51B13" w:rsidRDefault="00C51B13">
            <w:pPr>
              <w:rPr>
                <w:rFonts w:ascii="Calibri" w:eastAsia="Times New Roman" w:hAnsi="Calibri" w:cs="Calibri"/>
                <w:vanish/>
              </w:rPr>
            </w:pPr>
          </w:p>
          <w:tbl>
            <w:tblPr>
              <w:tblW w:w="9000" w:type="dxa"/>
              <w:tblCellSpacing w:w="0" w:type="dxa"/>
              <w:tblCellMar>
                <w:top w:w="240" w:type="dxa"/>
                <w:left w:w="240" w:type="dxa"/>
                <w:bottom w:w="240" w:type="dxa"/>
                <w:right w:w="240" w:type="dxa"/>
              </w:tblCellMar>
              <w:tblLook w:val="04A0" w:firstRow="1" w:lastRow="0" w:firstColumn="1" w:lastColumn="0" w:noHBand="0" w:noVBand="1"/>
            </w:tblPr>
            <w:tblGrid>
              <w:gridCol w:w="9000"/>
            </w:tblGrid>
            <w:tr w:rsidR="00C51B13" w14:paraId="00D3638C" w14:textId="77777777">
              <w:trPr>
                <w:tblCellSpacing w:w="0" w:type="dxa"/>
              </w:trPr>
              <w:tc>
                <w:tcPr>
                  <w:tcW w:w="0" w:type="auto"/>
                  <w:vAlign w:val="center"/>
                  <w:hideMark/>
                </w:tcPr>
                <w:p w14:paraId="77F1583F" w14:textId="35F44C9E" w:rsidR="00C51B13" w:rsidRDefault="00C51B13">
                  <w:pPr>
                    <w:rPr>
                      <w:rFonts w:ascii="Calibri" w:eastAsia="Times New Roman" w:hAnsi="Calibri" w:cs="Calibri"/>
                    </w:rPr>
                  </w:pPr>
                </w:p>
              </w:tc>
            </w:tr>
          </w:tbl>
          <w:p w14:paraId="489EB2AC" w14:textId="77777777" w:rsidR="00C51B13" w:rsidRDefault="00C51B13">
            <w:pPr>
              <w:rPr>
                <w:rFonts w:ascii="Times New Roman" w:eastAsia="Times New Roman" w:hAnsi="Times New Roman" w:cs="Times New Roman"/>
                <w:sz w:val="20"/>
                <w:szCs w:val="20"/>
              </w:rPr>
            </w:pPr>
          </w:p>
        </w:tc>
      </w:tr>
    </w:tbl>
    <w:p w14:paraId="6FE1866D"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734A1F"/>
    <w:multiLevelType w:val="multilevel"/>
    <w:tmpl w:val="7AF236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422E03"/>
    <w:multiLevelType w:val="multilevel"/>
    <w:tmpl w:val="AC2CC4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27460663">
    <w:abstractNumId w:val="1"/>
    <w:lvlOverride w:ilvl="0"/>
    <w:lvlOverride w:ilvl="1"/>
    <w:lvlOverride w:ilvl="2"/>
    <w:lvlOverride w:ilvl="3"/>
    <w:lvlOverride w:ilvl="4"/>
    <w:lvlOverride w:ilvl="5"/>
    <w:lvlOverride w:ilvl="6"/>
    <w:lvlOverride w:ilvl="7"/>
    <w:lvlOverride w:ilvl="8"/>
  </w:num>
  <w:num w:numId="2" w16cid:durableId="18541768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13"/>
    <w:rsid w:val="004617E4"/>
    <w:rsid w:val="006A3332"/>
    <w:rsid w:val="00B93805"/>
    <w:rsid w:val="00C5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61A32"/>
  <w15:chartTrackingRefBased/>
  <w15:docId w15:val="{DE8E2623-BAE2-4EFC-8B07-C38913D0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B13"/>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C51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1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B1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1B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B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B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B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B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B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B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B13"/>
    <w:rPr>
      <w:rFonts w:eastAsiaTheme="majorEastAsia" w:cstheme="majorBidi"/>
      <w:color w:val="272727" w:themeColor="text1" w:themeTint="D8"/>
    </w:rPr>
  </w:style>
  <w:style w:type="paragraph" w:styleId="Title">
    <w:name w:val="Title"/>
    <w:basedOn w:val="Normal"/>
    <w:next w:val="Normal"/>
    <w:link w:val="TitleChar"/>
    <w:uiPriority w:val="10"/>
    <w:qFormat/>
    <w:rsid w:val="00C51B1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B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B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B13"/>
    <w:pPr>
      <w:spacing w:before="160"/>
      <w:jc w:val="center"/>
    </w:pPr>
    <w:rPr>
      <w:i/>
      <w:iCs/>
      <w:color w:val="404040" w:themeColor="text1" w:themeTint="BF"/>
    </w:rPr>
  </w:style>
  <w:style w:type="character" w:customStyle="1" w:styleId="QuoteChar">
    <w:name w:val="Quote Char"/>
    <w:basedOn w:val="DefaultParagraphFont"/>
    <w:link w:val="Quote"/>
    <w:uiPriority w:val="29"/>
    <w:rsid w:val="00C51B13"/>
    <w:rPr>
      <w:i/>
      <w:iCs/>
      <w:color w:val="404040" w:themeColor="text1" w:themeTint="BF"/>
    </w:rPr>
  </w:style>
  <w:style w:type="paragraph" w:styleId="ListParagraph">
    <w:name w:val="List Paragraph"/>
    <w:basedOn w:val="Normal"/>
    <w:uiPriority w:val="34"/>
    <w:qFormat/>
    <w:rsid w:val="00C51B13"/>
    <w:pPr>
      <w:ind w:left="720"/>
      <w:contextualSpacing/>
    </w:pPr>
  </w:style>
  <w:style w:type="character" w:styleId="IntenseEmphasis">
    <w:name w:val="Intense Emphasis"/>
    <w:basedOn w:val="DefaultParagraphFont"/>
    <w:uiPriority w:val="21"/>
    <w:qFormat/>
    <w:rsid w:val="00C51B13"/>
    <w:rPr>
      <w:i/>
      <w:iCs/>
      <w:color w:val="0F4761" w:themeColor="accent1" w:themeShade="BF"/>
    </w:rPr>
  </w:style>
  <w:style w:type="paragraph" w:styleId="IntenseQuote">
    <w:name w:val="Intense Quote"/>
    <w:basedOn w:val="Normal"/>
    <w:next w:val="Normal"/>
    <w:link w:val="IntenseQuoteChar"/>
    <w:uiPriority w:val="30"/>
    <w:qFormat/>
    <w:rsid w:val="00C51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B13"/>
    <w:rPr>
      <w:i/>
      <w:iCs/>
      <w:color w:val="0F4761" w:themeColor="accent1" w:themeShade="BF"/>
    </w:rPr>
  </w:style>
  <w:style w:type="character" w:styleId="IntenseReference">
    <w:name w:val="Intense Reference"/>
    <w:basedOn w:val="DefaultParagraphFont"/>
    <w:uiPriority w:val="32"/>
    <w:qFormat/>
    <w:rsid w:val="00C51B13"/>
    <w:rPr>
      <w:b/>
      <w:bCs/>
      <w:smallCaps/>
      <w:color w:val="0F4761" w:themeColor="accent1" w:themeShade="BF"/>
      <w:spacing w:val="5"/>
    </w:rPr>
  </w:style>
  <w:style w:type="character" w:styleId="Hyperlink">
    <w:name w:val="Hyperlink"/>
    <w:basedOn w:val="DefaultParagraphFont"/>
    <w:uiPriority w:val="99"/>
    <w:semiHidden/>
    <w:unhideWhenUsed/>
    <w:rsid w:val="00C51B13"/>
    <w:rPr>
      <w:color w:val="0000FF"/>
      <w:u w:val="single"/>
    </w:rPr>
  </w:style>
  <w:style w:type="paragraph" w:styleId="NormalWeb">
    <w:name w:val="Normal (Web)"/>
    <w:basedOn w:val="Normal"/>
    <w:uiPriority w:val="99"/>
    <w:semiHidden/>
    <w:unhideWhenUsed/>
    <w:rsid w:val="00C51B1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34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land-waste-and-housing/waste-and-recycling/recycling-and-waste-prevention/recycling-centres/" TargetMode="External"/><Relationship Id="rId13" Type="http://schemas.openxmlformats.org/officeDocument/2006/relationships/hyperlink" Target="mailto:pressoffice@westsussex.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westsussex.gov.uk/RC"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twitter.com/WSCCNews" TargetMode="External"/><Relationship Id="rId1" Type="http://schemas.openxmlformats.org/officeDocument/2006/relationships/numbering" Target="numbering.xml"/><Relationship Id="rId6" Type="http://schemas.openxmlformats.org/officeDocument/2006/relationships/hyperlink" Target="https://dmscdn.vuelio.co.uk/publicitem/2af17dfc-9fcd-404d-91f4-4d9f57e036b8" TargetMode="External"/><Relationship Id="rId11" Type="http://schemas.openxmlformats.org/officeDocument/2006/relationships/hyperlink" Target="mailto:westsussexcontactus@millbrookhealthcare.co.uk"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www.westsussex.gov.uk/about-the-council/policies-and-reports/corporate-policy-and-reports/our-council-pla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estsussex.gov.uk/social-care-and-health/publications-policies-and-reports/social-care-and-health-policy-and-reports/adult-social-care-strategy/" TargetMode="External"/><Relationship Id="rId14" Type="http://schemas.openxmlformats.org/officeDocument/2006/relationships/hyperlink" Target="https://www.facebook.com/WestSussex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3074</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2024-05-07T07:34:00Z</dcterms:created>
  <dcterms:modified xsi:type="dcterms:W3CDTF">2024-05-07T07:34:00Z</dcterms:modified>
</cp:coreProperties>
</file>